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B386" w14:textId="77777777" w:rsidR="00C0230C" w:rsidRDefault="00C0230C" w:rsidP="00C0230C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Bekanntgabe</w:t>
      </w:r>
    </w:p>
    <w:p w14:paraId="37F6CE68" w14:textId="77777777" w:rsidR="00C0230C" w:rsidRPr="00472C01" w:rsidRDefault="00C0230C" w:rsidP="00C0230C">
      <w:pPr>
        <w:jc w:val="center"/>
        <w:rPr>
          <w:rFonts w:ascii="Arial" w:hAnsi="Arial" w:cs="Arial"/>
          <w:sz w:val="22"/>
          <w:szCs w:val="22"/>
        </w:rPr>
      </w:pPr>
    </w:p>
    <w:p w14:paraId="12594480" w14:textId="40909AEE" w:rsidR="003633F8" w:rsidRPr="00113679" w:rsidRDefault="00C0230C" w:rsidP="0098126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3679">
        <w:rPr>
          <w:rFonts w:ascii="Arial" w:hAnsi="Arial" w:cs="Arial"/>
          <w:color w:val="000000" w:themeColor="text1"/>
          <w:sz w:val="22"/>
          <w:szCs w:val="22"/>
        </w:rPr>
        <w:t>Die</w:t>
      </w:r>
      <w:r w:rsidR="00C05546" w:rsidRPr="001136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00B0" w:rsidRPr="00113679">
        <w:rPr>
          <w:rFonts w:ascii="Arial" w:hAnsi="Arial" w:cs="Arial"/>
          <w:color w:val="000000" w:themeColor="text1"/>
          <w:sz w:val="22"/>
          <w:szCs w:val="22"/>
        </w:rPr>
        <w:t>ae group gerstungen gmbh</w:t>
      </w:r>
      <w:r w:rsidRPr="00113679">
        <w:rPr>
          <w:rFonts w:ascii="Arial" w:hAnsi="Arial" w:cs="Arial"/>
          <w:color w:val="000000" w:themeColor="text1"/>
          <w:sz w:val="22"/>
          <w:szCs w:val="22"/>
        </w:rPr>
        <w:t>,</w:t>
      </w:r>
      <w:r w:rsidR="00BC00B0" w:rsidRPr="00113679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BC00B0" w:rsidRPr="00113679">
        <w:rPr>
          <w:rFonts w:ascii="Arial" w:hAnsi="Arial" w:cs="Arial"/>
          <w:color w:val="000000" w:themeColor="text1"/>
          <w:sz w:val="22"/>
          <w:szCs w:val="22"/>
        </w:rPr>
        <w:t>Am Kreuzweg 1,</w:t>
      </w:r>
      <w:r w:rsidR="00BC00B0" w:rsidRPr="00113679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BC00B0" w:rsidRPr="00113679">
        <w:rPr>
          <w:rFonts w:ascii="Arial" w:hAnsi="Arial" w:cs="Arial"/>
          <w:color w:val="000000" w:themeColor="text1"/>
          <w:sz w:val="22"/>
          <w:szCs w:val="22"/>
        </w:rPr>
        <w:t>99834 Gerstungen</w:t>
      </w:r>
      <w:r w:rsidRPr="00113679">
        <w:rPr>
          <w:rFonts w:ascii="Arial" w:hAnsi="Arial" w:cs="Arial"/>
          <w:color w:val="000000" w:themeColor="text1"/>
          <w:sz w:val="22"/>
          <w:szCs w:val="22"/>
        </w:rPr>
        <w:t xml:space="preserve"> stellte beim Thüringer Landesamt für Umwelt, Bergbau und Naturschutz (TLUBN) den Antrag </w:t>
      </w:r>
      <w:r w:rsidR="00CA4B77" w:rsidRPr="00113679">
        <w:rPr>
          <w:rFonts w:ascii="Arial" w:hAnsi="Arial" w:cs="Arial"/>
          <w:color w:val="000000" w:themeColor="text1"/>
          <w:sz w:val="22"/>
          <w:szCs w:val="22"/>
        </w:rPr>
        <w:t xml:space="preserve">nach § 16 BImSchG </w:t>
      </w:r>
      <w:r w:rsidR="00366AA5" w:rsidRPr="00113679">
        <w:rPr>
          <w:rFonts w:ascii="Arial" w:hAnsi="Arial"/>
          <w:sz w:val="22"/>
          <w:szCs w:val="22"/>
        </w:rPr>
        <w:t>zur wesentlichen Änderung und zum Betrieb der geänderten Anlage zum Schmelzen, zum Legieren oder zur Raffination von Nichteisenmetallen i. V. m. einer Gießerei für Nichteisenmetalle - Anlage der Nr. 3.4.1 und Nr. 3.8.1 des Anhangs zur Verordnung über genehmigungsbedürftige Anlagen (4. BImSchV)</w:t>
      </w:r>
      <w:r w:rsidRPr="00113679">
        <w:rPr>
          <w:rFonts w:ascii="Arial" w:hAnsi="Arial" w:cs="Arial"/>
          <w:color w:val="000000" w:themeColor="text1"/>
          <w:sz w:val="22"/>
          <w:szCs w:val="22"/>
        </w:rPr>
        <w:t xml:space="preserve"> am Standort im</w:t>
      </w:r>
      <w:r w:rsidR="00EF3CB9" w:rsidRPr="00113679">
        <w:rPr>
          <w:rFonts w:ascii="Arial" w:hAnsi="Arial" w:cs="Arial"/>
          <w:color w:val="000000" w:themeColor="text1"/>
          <w:sz w:val="22"/>
          <w:szCs w:val="22"/>
        </w:rPr>
        <w:t xml:space="preserve"> Wartburgkreis, </w:t>
      </w:r>
      <w:r w:rsidR="00EF3CB9" w:rsidRPr="00113679">
        <w:rPr>
          <w:rFonts w:ascii="Arial" w:hAnsi="Arial"/>
          <w:sz w:val="22"/>
          <w:szCs w:val="22"/>
        </w:rPr>
        <w:t xml:space="preserve">99834 Gerstungen, </w:t>
      </w:r>
      <w:r w:rsidR="00EF3CB9" w:rsidRPr="00113679">
        <w:rPr>
          <w:rFonts w:ascii="Arial" w:hAnsi="Arial" w:cs="Arial"/>
          <w:color w:val="000000" w:themeColor="text1"/>
          <w:sz w:val="22"/>
          <w:szCs w:val="22"/>
        </w:rPr>
        <w:t>Am Kreuzweg 1,</w:t>
      </w:r>
      <w:r w:rsidRPr="00113679">
        <w:rPr>
          <w:rFonts w:ascii="Arial" w:hAnsi="Arial" w:cs="Arial"/>
          <w:color w:val="0070C0"/>
          <w:sz w:val="22"/>
          <w:szCs w:val="22"/>
        </w:rPr>
        <w:t xml:space="preserve"> </w:t>
      </w:r>
      <w:r w:rsidRPr="00113679">
        <w:rPr>
          <w:rFonts w:ascii="Arial" w:hAnsi="Arial" w:cs="Arial"/>
          <w:color w:val="000000" w:themeColor="text1"/>
          <w:sz w:val="22"/>
          <w:szCs w:val="22"/>
        </w:rPr>
        <w:t>Gemarkung</w:t>
      </w:r>
      <w:r w:rsidR="00C05546" w:rsidRPr="001136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3CB9" w:rsidRPr="00113679">
        <w:rPr>
          <w:rFonts w:ascii="Arial" w:hAnsi="Arial" w:cs="Arial"/>
          <w:color w:val="000000" w:themeColor="text1"/>
          <w:sz w:val="22"/>
          <w:szCs w:val="22"/>
        </w:rPr>
        <w:t>Untersuhl.</w:t>
      </w:r>
    </w:p>
    <w:p w14:paraId="3CD3655B" w14:textId="77777777" w:rsidR="00C0230C" w:rsidRPr="00113679" w:rsidRDefault="00C0230C" w:rsidP="0098126A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0B7F7B" w14:textId="77777777" w:rsidR="00366AA5" w:rsidRPr="00113679" w:rsidRDefault="006E122D" w:rsidP="0098126A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3679">
        <w:rPr>
          <w:rFonts w:ascii="Arial" w:hAnsi="Arial" w:cs="Arial"/>
          <w:color w:val="000000" w:themeColor="text1"/>
          <w:sz w:val="22"/>
          <w:szCs w:val="22"/>
        </w:rPr>
        <w:t>Das geplante Vorhaben besteht aus</w:t>
      </w:r>
      <w:r w:rsidR="00366AA5" w:rsidRPr="00113679">
        <w:rPr>
          <w:rFonts w:ascii="Arial" w:hAnsi="Arial" w:cs="Arial"/>
          <w:color w:val="000000" w:themeColor="text1"/>
          <w:sz w:val="22"/>
          <w:szCs w:val="22"/>
        </w:rPr>
        <w:t>:</w:t>
      </w:r>
      <w:r w:rsidRPr="001136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6AC02E" w14:textId="77777777" w:rsidR="00366AA5" w:rsidRPr="00113679" w:rsidRDefault="00366AA5" w:rsidP="0098126A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4C8D54" w14:textId="1429B44D" w:rsidR="00366AA5" w:rsidRPr="00113679" w:rsidRDefault="00366AA5" w:rsidP="00207C6C">
      <w:pPr>
        <w:pStyle w:val="Listenabsatz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3679">
        <w:rPr>
          <w:rFonts w:ascii="Arial" w:hAnsi="Arial" w:cs="Arial"/>
          <w:color w:val="000000" w:themeColor="text1"/>
          <w:sz w:val="22"/>
          <w:szCs w:val="22"/>
        </w:rPr>
        <w:t xml:space="preserve">der Errichtung </w:t>
      </w:r>
      <w:r w:rsidR="00984877" w:rsidRPr="00113679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r w:rsidR="00207C6C" w:rsidRPr="00113679">
        <w:rPr>
          <w:rFonts w:ascii="Arial" w:hAnsi="Arial" w:cs="Arial"/>
          <w:color w:val="000000" w:themeColor="text1"/>
          <w:sz w:val="22"/>
          <w:szCs w:val="22"/>
        </w:rPr>
        <w:t xml:space="preserve">dem </w:t>
      </w:r>
      <w:r w:rsidR="00984877" w:rsidRPr="00113679">
        <w:rPr>
          <w:rFonts w:ascii="Arial" w:hAnsi="Arial" w:cs="Arial"/>
          <w:color w:val="000000" w:themeColor="text1"/>
          <w:sz w:val="22"/>
          <w:szCs w:val="22"/>
        </w:rPr>
        <w:t xml:space="preserve">Betrieb </w:t>
      </w:r>
      <w:r w:rsidRPr="00113679">
        <w:rPr>
          <w:rFonts w:ascii="Arial" w:hAnsi="Arial" w:cs="Arial"/>
          <w:color w:val="000000" w:themeColor="text1"/>
          <w:sz w:val="22"/>
          <w:szCs w:val="22"/>
        </w:rPr>
        <w:t xml:space="preserve">eines neuen Schmelzofens 'BE 1205' </w:t>
      </w:r>
      <w:r w:rsidR="000F040C" w:rsidRPr="00113679">
        <w:rPr>
          <w:rFonts w:ascii="Arial" w:hAnsi="Arial" w:cs="Arial"/>
          <w:color w:val="000000" w:themeColor="text1"/>
          <w:sz w:val="22"/>
          <w:szCs w:val="22"/>
        </w:rPr>
        <w:t xml:space="preserve">(max. Schmelzleistung 3 t/h Aluminium, max. Warmhaltekapazität 6 t/h Aluminium, Anzahl Schmelzbrenner </w:t>
      </w:r>
      <w:r w:rsidR="0098126A" w:rsidRPr="00113679">
        <w:rPr>
          <w:rFonts w:ascii="Arial" w:hAnsi="Arial" w:cs="Arial"/>
          <w:color w:val="000000" w:themeColor="text1"/>
          <w:sz w:val="22"/>
          <w:szCs w:val="22"/>
        </w:rPr>
        <w:t>3</w:t>
      </w:r>
      <w:r w:rsidR="000F040C" w:rsidRPr="00113679">
        <w:rPr>
          <w:rFonts w:ascii="Arial" w:hAnsi="Arial" w:cs="Arial"/>
          <w:color w:val="000000" w:themeColor="text1"/>
          <w:sz w:val="22"/>
          <w:szCs w:val="22"/>
        </w:rPr>
        <w:t xml:space="preserve"> x 600 kW</w:t>
      </w:r>
      <w:r w:rsidR="00906276" w:rsidRPr="00113679">
        <w:rPr>
          <w:rFonts w:ascii="Arial" w:hAnsi="Arial" w:cs="Arial"/>
          <w:color w:val="000000" w:themeColor="text1"/>
          <w:sz w:val="22"/>
          <w:szCs w:val="22"/>
        </w:rPr>
        <w:t>, Warmhaltebrenner 2 x 450 kW, Energieträger Erdgas, Brennerleistung 240 m³/h</w:t>
      </w:r>
      <w:r w:rsidR="00984877" w:rsidRPr="001136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7C6C" w:rsidRPr="00113679">
        <w:rPr>
          <w:rFonts w:ascii="Arial" w:hAnsi="Arial" w:cs="Arial"/>
          <w:color w:val="000000" w:themeColor="text1"/>
          <w:sz w:val="22"/>
          <w:szCs w:val="22"/>
        </w:rPr>
        <w:t xml:space="preserve">inkl. Errichtung der Emissionsquelle Q 2.3)  </w:t>
      </w:r>
      <w:r w:rsidRPr="00113679">
        <w:rPr>
          <w:rFonts w:ascii="Arial" w:hAnsi="Arial" w:cs="Arial"/>
          <w:color w:val="000000" w:themeColor="text1"/>
          <w:sz w:val="22"/>
          <w:szCs w:val="22"/>
        </w:rPr>
        <w:t xml:space="preserve">als Ersatz für </w:t>
      </w:r>
      <w:r w:rsidR="00207C6C" w:rsidRPr="00113679">
        <w:rPr>
          <w:rFonts w:ascii="Arial" w:hAnsi="Arial" w:cs="Arial"/>
          <w:color w:val="000000" w:themeColor="text1"/>
          <w:sz w:val="22"/>
          <w:szCs w:val="22"/>
        </w:rPr>
        <w:t xml:space="preserve">den </w:t>
      </w:r>
      <w:r w:rsidRPr="00113679">
        <w:rPr>
          <w:rFonts w:ascii="Arial" w:hAnsi="Arial" w:cs="Arial"/>
          <w:color w:val="000000" w:themeColor="text1"/>
          <w:sz w:val="22"/>
          <w:szCs w:val="22"/>
        </w:rPr>
        <w:t>bestehenden, Schmelzofen 'BE 1201'</w:t>
      </w:r>
      <w:r w:rsidR="00627C8A" w:rsidRPr="00113679">
        <w:rPr>
          <w:rFonts w:ascii="Arial" w:hAnsi="Arial" w:cs="Arial"/>
          <w:color w:val="000000" w:themeColor="text1"/>
          <w:sz w:val="22"/>
          <w:szCs w:val="22"/>
        </w:rPr>
        <w:t xml:space="preserve"> (max. Schmelzleistung 2,5 t/h Aluminium</w:t>
      </w:r>
      <w:r w:rsidRPr="00113679">
        <w:rPr>
          <w:rFonts w:ascii="Arial" w:hAnsi="Arial" w:cs="Arial"/>
          <w:color w:val="000000" w:themeColor="text1"/>
          <w:sz w:val="22"/>
          <w:szCs w:val="22"/>
        </w:rPr>
        <w:t>,</w:t>
      </w:r>
      <w:r w:rsidR="00627C8A" w:rsidRPr="00113679">
        <w:rPr>
          <w:rFonts w:ascii="Arial" w:hAnsi="Arial" w:cs="Arial"/>
          <w:color w:val="000000" w:themeColor="text1"/>
          <w:sz w:val="22"/>
          <w:szCs w:val="22"/>
        </w:rPr>
        <w:t xml:space="preserve"> max. Warmhaltekapazität 6 t/h Aluminium, Schmelzbrenner 2 x 750 kW</w:t>
      </w:r>
      <w:r w:rsidR="00906276" w:rsidRPr="00113679">
        <w:rPr>
          <w:rFonts w:ascii="Arial" w:hAnsi="Arial" w:cs="Arial"/>
          <w:color w:val="000000" w:themeColor="text1"/>
          <w:sz w:val="22"/>
          <w:szCs w:val="22"/>
        </w:rPr>
        <w:t>, Warmhaltebrenner 2 x 630 kW, Energieträger Erdgas, Brennerleistung 246 m³/h</w:t>
      </w:r>
      <w:r w:rsidR="000F040C" w:rsidRPr="00113679">
        <w:rPr>
          <w:rFonts w:ascii="Arial" w:hAnsi="Arial" w:cs="Arial"/>
          <w:color w:val="000000" w:themeColor="text1"/>
          <w:sz w:val="22"/>
          <w:szCs w:val="22"/>
        </w:rPr>
        <w:t>)</w:t>
      </w:r>
      <w:r w:rsidR="00207C6C" w:rsidRPr="00113679">
        <w:rPr>
          <w:rFonts w:ascii="Arial" w:hAnsi="Arial" w:cs="Arial"/>
          <w:color w:val="000000" w:themeColor="text1"/>
          <w:sz w:val="22"/>
          <w:szCs w:val="22"/>
        </w:rPr>
        <w:t xml:space="preserve"> inkl. Rückbau </w:t>
      </w:r>
      <w:r w:rsidR="00E102D4">
        <w:rPr>
          <w:rFonts w:ascii="Arial" w:hAnsi="Arial" w:cs="Arial"/>
          <w:color w:val="000000" w:themeColor="text1"/>
          <w:sz w:val="22"/>
          <w:szCs w:val="22"/>
        </w:rPr>
        <w:t>von</w:t>
      </w:r>
      <w:r w:rsidR="00207C6C" w:rsidRPr="00113679">
        <w:rPr>
          <w:rFonts w:ascii="Arial" w:hAnsi="Arial" w:cs="Arial"/>
          <w:color w:val="000000" w:themeColor="text1"/>
          <w:sz w:val="22"/>
          <w:szCs w:val="22"/>
        </w:rPr>
        <w:t xml:space="preserve"> Schmelzofen 'BE 1201'</w:t>
      </w:r>
      <w:r w:rsidR="00984877" w:rsidRPr="00113679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2AA955D" w14:textId="77777777" w:rsidR="0098126A" w:rsidRPr="00113679" w:rsidRDefault="0098126A" w:rsidP="0098126A">
      <w:pPr>
        <w:pStyle w:val="Listenabsatz"/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E093B7" w14:textId="086CF39F" w:rsidR="00D747A6" w:rsidRPr="00113679" w:rsidRDefault="00D747A6" w:rsidP="00D747A6">
      <w:pPr>
        <w:pStyle w:val="Listenabsatz"/>
        <w:numPr>
          <w:ilvl w:val="0"/>
          <w:numId w:val="3"/>
        </w:numPr>
        <w:rPr>
          <w:rFonts w:ascii="Arial" w:eastAsia="Cambria" w:hAnsi="Arial"/>
          <w:sz w:val="22"/>
          <w:szCs w:val="22"/>
          <w:lang w:eastAsia="en-US"/>
        </w:rPr>
      </w:pPr>
      <w:r w:rsidRPr="00113679">
        <w:rPr>
          <w:rFonts w:ascii="Arial" w:eastAsia="Cambria" w:hAnsi="Arial"/>
          <w:sz w:val="22"/>
          <w:szCs w:val="22"/>
          <w:lang w:eastAsia="en-US"/>
        </w:rPr>
        <w:t>Reduzierung d</w:t>
      </w:r>
      <w:r w:rsidR="00CA4B77" w:rsidRPr="00113679">
        <w:rPr>
          <w:rFonts w:ascii="Arial" w:eastAsia="Cambria" w:hAnsi="Arial"/>
          <w:sz w:val="22"/>
          <w:szCs w:val="22"/>
          <w:lang w:eastAsia="en-US"/>
        </w:rPr>
        <w:t>er</w:t>
      </w:r>
      <w:r w:rsidRPr="00113679">
        <w:rPr>
          <w:rFonts w:ascii="Arial" w:eastAsia="Cambria" w:hAnsi="Arial"/>
          <w:sz w:val="22"/>
          <w:szCs w:val="22"/>
          <w:lang w:eastAsia="en-US"/>
        </w:rPr>
        <w:t xml:space="preserve"> </w:t>
      </w:r>
      <w:r w:rsidR="002C6EBA" w:rsidRPr="00113679">
        <w:rPr>
          <w:rFonts w:ascii="Arial" w:eastAsia="Cambria" w:hAnsi="Arial"/>
          <w:sz w:val="22"/>
          <w:szCs w:val="22"/>
          <w:lang w:eastAsia="en-US"/>
        </w:rPr>
        <w:t xml:space="preserve">Massenkonzentration </w:t>
      </w:r>
      <w:r w:rsidR="00CA4B77" w:rsidRPr="00113679">
        <w:rPr>
          <w:rFonts w:ascii="Arial" w:eastAsia="Cambria" w:hAnsi="Arial"/>
          <w:sz w:val="22"/>
          <w:szCs w:val="22"/>
          <w:lang w:eastAsia="en-US"/>
        </w:rPr>
        <w:t>an</w:t>
      </w:r>
      <w:r w:rsidRPr="00113679">
        <w:rPr>
          <w:rFonts w:ascii="Arial" w:eastAsia="Cambria" w:hAnsi="Arial"/>
          <w:sz w:val="22"/>
          <w:szCs w:val="22"/>
          <w:lang w:eastAsia="en-US"/>
        </w:rPr>
        <w:t xml:space="preserve"> Fluorwasserstoff der bestehenden Schmelzanlagen (Q 1, Q 2.1, Q 2.2) von 3 mg/m³ auf</w:t>
      </w:r>
      <w:r w:rsidR="00207C6C" w:rsidRPr="00113679">
        <w:rPr>
          <w:rFonts w:ascii="Arial" w:eastAsia="Cambria" w:hAnsi="Arial"/>
          <w:sz w:val="22"/>
          <w:szCs w:val="22"/>
          <w:lang w:eastAsia="en-US"/>
        </w:rPr>
        <w:t xml:space="preserve"> jeweils</w:t>
      </w:r>
      <w:r w:rsidRPr="00113679">
        <w:rPr>
          <w:rFonts w:ascii="Arial" w:eastAsia="Cambria" w:hAnsi="Arial"/>
          <w:sz w:val="22"/>
          <w:szCs w:val="22"/>
          <w:lang w:eastAsia="en-US"/>
        </w:rPr>
        <w:t xml:space="preserve"> 2 mg/m³</w:t>
      </w:r>
      <w:r w:rsidR="006E4D23">
        <w:rPr>
          <w:rFonts w:ascii="Arial" w:eastAsia="Cambria" w:hAnsi="Arial"/>
          <w:sz w:val="22"/>
          <w:szCs w:val="22"/>
          <w:lang w:eastAsia="en-US"/>
        </w:rPr>
        <w:t>,</w:t>
      </w:r>
    </w:p>
    <w:p w14:paraId="6E8F8FF2" w14:textId="77777777" w:rsidR="00D747A6" w:rsidRPr="00113679" w:rsidRDefault="00D747A6" w:rsidP="00D747A6">
      <w:pPr>
        <w:rPr>
          <w:rFonts w:ascii="Arial" w:eastAsia="Cambria" w:hAnsi="Arial"/>
          <w:sz w:val="22"/>
          <w:szCs w:val="22"/>
          <w:lang w:eastAsia="en-US"/>
        </w:rPr>
      </w:pPr>
    </w:p>
    <w:p w14:paraId="14922729" w14:textId="56CAD2E2" w:rsidR="00D747A6" w:rsidRPr="00113679" w:rsidRDefault="00CA4B77" w:rsidP="00D747A6">
      <w:pPr>
        <w:pStyle w:val="Listenabsatz"/>
        <w:numPr>
          <w:ilvl w:val="0"/>
          <w:numId w:val="3"/>
        </w:numPr>
        <w:rPr>
          <w:rFonts w:ascii="Arial" w:eastAsia="Cambria" w:hAnsi="Arial"/>
          <w:sz w:val="22"/>
          <w:szCs w:val="22"/>
          <w:lang w:eastAsia="en-US"/>
        </w:rPr>
      </w:pPr>
      <w:r w:rsidRPr="00113679">
        <w:rPr>
          <w:rFonts w:ascii="Arial" w:eastAsia="Cambria" w:hAnsi="Arial"/>
          <w:sz w:val="22"/>
          <w:szCs w:val="22"/>
          <w:lang w:eastAsia="en-US"/>
        </w:rPr>
        <w:t>Reduzierung der</w:t>
      </w:r>
      <w:r w:rsidR="002C6EBA" w:rsidRPr="00113679">
        <w:rPr>
          <w:rFonts w:ascii="Arial" w:eastAsia="Cambria" w:hAnsi="Arial"/>
          <w:sz w:val="22"/>
          <w:szCs w:val="22"/>
          <w:lang w:eastAsia="en-US"/>
        </w:rPr>
        <w:t xml:space="preserve"> Massenkonzentration </w:t>
      </w:r>
      <w:r w:rsidRPr="00113679">
        <w:rPr>
          <w:rFonts w:ascii="Arial" w:eastAsia="Cambria" w:hAnsi="Arial"/>
          <w:sz w:val="22"/>
          <w:szCs w:val="22"/>
          <w:lang w:eastAsia="en-US"/>
        </w:rPr>
        <w:t>an NO</w:t>
      </w:r>
      <w:r w:rsidRPr="00113679">
        <w:rPr>
          <w:rFonts w:ascii="Arial" w:eastAsia="Cambria" w:hAnsi="Arial"/>
          <w:sz w:val="22"/>
          <w:szCs w:val="22"/>
          <w:vertAlign w:val="subscript"/>
          <w:lang w:eastAsia="en-US"/>
        </w:rPr>
        <w:t>x</w:t>
      </w:r>
      <w:r w:rsidR="00D747A6" w:rsidRPr="00113679">
        <w:rPr>
          <w:rFonts w:ascii="Arial" w:eastAsia="Cambria" w:hAnsi="Arial"/>
          <w:sz w:val="22"/>
          <w:szCs w:val="22"/>
          <w:lang w:eastAsia="en-US"/>
        </w:rPr>
        <w:t xml:space="preserve"> der Genehmigung der bestehenden Schmelzanlagen (Q 1, Q 2.1, Q 2.2) von 0,35 g/m³ auf </w:t>
      </w:r>
      <w:r w:rsidR="00207C6C" w:rsidRPr="00113679">
        <w:rPr>
          <w:rFonts w:ascii="Arial" w:eastAsia="Cambria" w:hAnsi="Arial"/>
          <w:sz w:val="22"/>
          <w:szCs w:val="22"/>
          <w:lang w:eastAsia="en-US"/>
        </w:rPr>
        <w:t xml:space="preserve">jeweils </w:t>
      </w:r>
      <w:r w:rsidR="00D747A6" w:rsidRPr="00113679">
        <w:rPr>
          <w:rFonts w:ascii="Arial" w:eastAsia="Cambria" w:hAnsi="Arial"/>
          <w:sz w:val="22"/>
          <w:szCs w:val="22"/>
          <w:lang w:eastAsia="en-US"/>
        </w:rPr>
        <w:t>0,26 g/m³</w:t>
      </w:r>
      <w:r w:rsidR="006E4D23">
        <w:rPr>
          <w:rFonts w:ascii="Arial" w:eastAsia="Cambria" w:hAnsi="Arial"/>
          <w:sz w:val="22"/>
          <w:szCs w:val="22"/>
          <w:lang w:eastAsia="en-US"/>
        </w:rPr>
        <w:t>,</w:t>
      </w:r>
    </w:p>
    <w:p w14:paraId="080F948F" w14:textId="77777777" w:rsidR="00D747A6" w:rsidRPr="00113679" w:rsidRDefault="00D747A6" w:rsidP="00D747A6">
      <w:pPr>
        <w:pStyle w:val="Listenabsatz"/>
        <w:rPr>
          <w:rFonts w:ascii="Arial" w:eastAsia="Cambria" w:hAnsi="Arial"/>
          <w:sz w:val="22"/>
          <w:szCs w:val="22"/>
          <w:lang w:eastAsia="en-US"/>
        </w:rPr>
      </w:pPr>
    </w:p>
    <w:p w14:paraId="6E2C7E11" w14:textId="7185197D" w:rsidR="00D747A6" w:rsidRPr="00113679" w:rsidRDefault="00D747A6" w:rsidP="00D747A6">
      <w:pPr>
        <w:pStyle w:val="Listenabsatz"/>
        <w:numPr>
          <w:ilvl w:val="0"/>
          <w:numId w:val="3"/>
        </w:numPr>
        <w:rPr>
          <w:rFonts w:ascii="Arial" w:eastAsia="Cambria" w:hAnsi="Arial"/>
          <w:sz w:val="22"/>
          <w:szCs w:val="22"/>
          <w:lang w:eastAsia="en-US"/>
        </w:rPr>
      </w:pPr>
      <w:r w:rsidRPr="00113679">
        <w:rPr>
          <w:rFonts w:ascii="Arial" w:eastAsia="Cambria" w:hAnsi="Arial"/>
          <w:sz w:val="22"/>
          <w:szCs w:val="22"/>
          <w:lang w:eastAsia="en-US"/>
        </w:rPr>
        <w:t xml:space="preserve">Erhöhung der Schmelzleistung </w:t>
      </w:r>
      <w:r w:rsidR="00247536">
        <w:rPr>
          <w:rFonts w:ascii="Arial" w:eastAsia="Cambria" w:hAnsi="Arial"/>
          <w:sz w:val="22"/>
          <w:szCs w:val="22"/>
          <w:lang w:eastAsia="en-US"/>
        </w:rPr>
        <w:t xml:space="preserve">der Gesamtanlage </w:t>
      </w:r>
      <w:r w:rsidRPr="00113679">
        <w:rPr>
          <w:rFonts w:ascii="Arial" w:eastAsia="Cambria" w:hAnsi="Arial"/>
          <w:sz w:val="22"/>
          <w:szCs w:val="22"/>
          <w:lang w:eastAsia="en-US"/>
        </w:rPr>
        <w:t>von 98 t/d um 19 t/d auf 117 t/d</w:t>
      </w:r>
      <w:r w:rsidR="006E4D23">
        <w:rPr>
          <w:rFonts w:ascii="Arial" w:eastAsia="Cambria" w:hAnsi="Arial"/>
          <w:sz w:val="22"/>
          <w:szCs w:val="22"/>
          <w:lang w:eastAsia="en-US"/>
        </w:rPr>
        <w:t>,</w:t>
      </w:r>
    </w:p>
    <w:p w14:paraId="3BED37B2" w14:textId="77777777" w:rsidR="00D747A6" w:rsidRPr="00113679" w:rsidRDefault="00D747A6" w:rsidP="00D747A6">
      <w:pPr>
        <w:rPr>
          <w:rFonts w:ascii="Arial" w:eastAsia="Cambria" w:hAnsi="Arial"/>
          <w:sz w:val="22"/>
          <w:szCs w:val="22"/>
          <w:lang w:eastAsia="en-US"/>
        </w:rPr>
      </w:pPr>
    </w:p>
    <w:p w14:paraId="167E7704" w14:textId="1A2FB44B" w:rsidR="00D747A6" w:rsidRPr="00200311" w:rsidRDefault="00D747A6" w:rsidP="00D747A6">
      <w:pPr>
        <w:pStyle w:val="Listenabsatz"/>
        <w:numPr>
          <w:ilvl w:val="0"/>
          <w:numId w:val="3"/>
        </w:numPr>
        <w:rPr>
          <w:rFonts w:ascii="Arial" w:eastAsia="Cambria" w:hAnsi="Arial"/>
          <w:lang w:eastAsia="en-US"/>
        </w:rPr>
      </w:pPr>
      <w:r w:rsidRPr="00113679">
        <w:rPr>
          <w:rFonts w:ascii="Arial" w:eastAsia="Cambria" w:hAnsi="Arial"/>
          <w:sz w:val="22"/>
          <w:szCs w:val="22"/>
          <w:lang w:eastAsia="en-US"/>
        </w:rPr>
        <w:t xml:space="preserve">Erhöhung der Gießleistung </w:t>
      </w:r>
      <w:r w:rsidR="00247536">
        <w:rPr>
          <w:rFonts w:ascii="Arial" w:eastAsia="Cambria" w:hAnsi="Arial"/>
          <w:sz w:val="22"/>
          <w:szCs w:val="22"/>
          <w:lang w:eastAsia="en-US"/>
        </w:rPr>
        <w:t xml:space="preserve">der Gesamtanlage </w:t>
      </w:r>
      <w:r w:rsidRPr="00113679">
        <w:rPr>
          <w:rFonts w:ascii="Arial" w:eastAsia="Cambria" w:hAnsi="Arial"/>
          <w:sz w:val="22"/>
          <w:szCs w:val="22"/>
          <w:lang w:eastAsia="en-US"/>
        </w:rPr>
        <w:t>von 98 t/d um 19 t/d auf 117 t/</w:t>
      </w:r>
      <w:r w:rsidRPr="00200311">
        <w:rPr>
          <w:rFonts w:ascii="Arial" w:eastAsia="Cambria" w:hAnsi="Arial"/>
          <w:lang w:eastAsia="en-US"/>
        </w:rPr>
        <w:t>d</w:t>
      </w:r>
      <w:r w:rsidR="006E4D23">
        <w:rPr>
          <w:rFonts w:ascii="Arial" w:eastAsia="Cambria" w:hAnsi="Arial"/>
          <w:lang w:eastAsia="en-US"/>
        </w:rPr>
        <w:t>.</w:t>
      </w:r>
      <w:bookmarkStart w:id="0" w:name="_GoBack"/>
      <w:bookmarkEnd w:id="0"/>
    </w:p>
    <w:p w14:paraId="2E016F17" w14:textId="77777777" w:rsidR="00D747A6" w:rsidRPr="00200311" w:rsidRDefault="00D747A6" w:rsidP="00D747A6">
      <w:pPr>
        <w:pStyle w:val="Listenabsatz"/>
        <w:rPr>
          <w:rFonts w:ascii="Arial" w:eastAsia="Cambria" w:hAnsi="Arial"/>
          <w:lang w:eastAsia="en-US"/>
        </w:rPr>
      </w:pPr>
    </w:p>
    <w:p w14:paraId="1EB0391C" w14:textId="77777777" w:rsidR="00366AA5" w:rsidRDefault="00366AA5" w:rsidP="0098126A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36419B" w14:textId="12D19A23" w:rsidR="00C0230C" w:rsidRPr="003D1522" w:rsidRDefault="00C0230C" w:rsidP="0098126A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5D0F94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handelt </w:t>
      </w:r>
      <w:r w:rsidRPr="005D0F94">
        <w:rPr>
          <w:rFonts w:ascii="Arial" w:hAnsi="Arial" w:cs="Arial"/>
          <w:sz w:val="22"/>
          <w:szCs w:val="22"/>
        </w:rPr>
        <w:t xml:space="preserve">sich um ein Vorhaben, für welches nach Anlage 1 Nr. </w:t>
      </w:r>
      <w:r w:rsidR="00366AA5">
        <w:rPr>
          <w:rFonts w:ascii="Arial" w:hAnsi="Arial" w:cs="Arial"/>
          <w:sz w:val="22"/>
          <w:szCs w:val="22"/>
        </w:rPr>
        <w:t>3.5.2</w:t>
      </w:r>
      <w:r>
        <w:rPr>
          <w:rFonts w:ascii="Arial" w:hAnsi="Arial" w:cs="Arial"/>
          <w:sz w:val="22"/>
          <w:szCs w:val="22"/>
        </w:rPr>
        <w:t xml:space="preserve"> </w:t>
      </w:r>
      <w:r w:rsidR="00366AA5">
        <w:rPr>
          <w:rFonts w:ascii="Arial" w:hAnsi="Arial" w:cs="Arial"/>
          <w:sz w:val="22"/>
          <w:szCs w:val="22"/>
        </w:rPr>
        <w:t xml:space="preserve">Spalte 2 </w:t>
      </w:r>
      <w:r w:rsidRPr="005D0F94">
        <w:rPr>
          <w:rFonts w:ascii="Arial" w:hAnsi="Arial" w:cs="Arial"/>
          <w:sz w:val="22"/>
          <w:szCs w:val="22"/>
        </w:rPr>
        <w:t xml:space="preserve">des Gesetzes über die Umweltverträglichkeitsprüfung (UVPG)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eine </w:t>
      </w:r>
      <w:r w:rsidRPr="00366AA5">
        <w:rPr>
          <w:rFonts w:ascii="Arial" w:hAnsi="Arial" w:cs="Arial"/>
          <w:sz w:val="22"/>
          <w:szCs w:val="22"/>
        </w:rPr>
        <w:t>allgemeine</w:t>
      </w:r>
      <w:r w:rsidR="00C05546" w:rsidRPr="00366AA5">
        <w:rPr>
          <w:rFonts w:ascii="Arial" w:hAnsi="Arial" w:cs="Arial"/>
          <w:sz w:val="22"/>
          <w:szCs w:val="22"/>
        </w:rPr>
        <w:t xml:space="preserve"> </w:t>
      </w:r>
      <w:r w:rsidRPr="00366AA5">
        <w:rPr>
          <w:rFonts w:ascii="Arial" w:hAnsi="Arial" w:cs="Arial"/>
          <w:sz w:val="22"/>
          <w:szCs w:val="22"/>
        </w:rPr>
        <w:t>V</w:t>
      </w:r>
      <w:r w:rsidRPr="003D1522">
        <w:rPr>
          <w:rFonts w:ascii="Arial" w:hAnsi="Arial" w:cs="Arial"/>
          <w:color w:val="000000" w:themeColor="text1"/>
          <w:sz w:val="22"/>
          <w:szCs w:val="22"/>
        </w:rPr>
        <w:t>orprüfung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des Einzelfalls</w:t>
      </w:r>
      <w:r w:rsidR="006E122D">
        <w:rPr>
          <w:rFonts w:ascii="Arial" w:hAnsi="Arial" w:cs="Arial"/>
          <w:color w:val="000000" w:themeColor="text1"/>
          <w:sz w:val="22"/>
          <w:szCs w:val="22"/>
        </w:rPr>
        <w:t xml:space="preserve"> zu erfolgen hat</w:t>
      </w:r>
      <w:r w:rsidRPr="00B234C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87FC275" w14:textId="77777777" w:rsidR="00C0230C" w:rsidRPr="003D1522" w:rsidRDefault="00C0230C" w:rsidP="0098126A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C33E74" w14:textId="5BB3D495" w:rsidR="00C0230C" w:rsidRDefault="00C0230C" w:rsidP="0098126A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Gemäß § 5 Abs. 2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>UVPG wird bekannt gegeben:</w:t>
      </w:r>
      <w:r w:rsidR="009062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Aufgrund der </w:t>
      </w:r>
      <w:r w:rsidR="006E122D" w:rsidRPr="000F040C">
        <w:rPr>
          <w:rFonts w:ascii="Arial" w:hAnsi="Arial" w:cs="Arial"/>
          <w:color w:val="000000" w:themeColor="text1"/>
          <w:sz w:val="22"/>
          <w:szCs w:val="22"/>
        </w:rPr>
        <w:t xml:space="preserve">allgemeinen </w:t>
      </w:r>
      <w:r w:rsidRPr="003D1522">
        <w:rPr>
          <w:rFonts w:ascii="Arial" w:hAnsi="Arial" w:cs="Arial"/>
          <w:color w:val="000000" w:themeColor="text1"/>
          <w:sz w:val="22"/>
          <w:szCs w:val="22"/>
        </w:rPr>
        <w:t xml:space="preserve">Vorprüfung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des Einzelfalls </w:t>
      </w:r>
      <w:r w:rsidRPr="000F040C">
        <w:rPr>
          <w:rFonts w:ascii="Arial" w:hAnsi="Arial" w:cs="Arial"/>
          <w:color w:val="000000" w:themeColor="text1"/>
          <w:sz w:val="22"/>
          <w:szCs w:val="22"/>
        </w:rPr>
        <w:t xml:space="preserve">gemäß </w:t>
      </w:r>
      <w:r w:rsidR="006B4978">
        <w:rPr>
          <w:rFonts w:ascii="Arial" w:hAnsi="Arial" w:cs="Arial"/>
          <w:color w:val="000000" w:themeColor="text1"/>
          <w:sz w:val="22"/>
          <w:szCs w:val="22"/>
        </w:rPr>
        <w:t xml:space="preserve">§ 9 Abs. 2 Nr. 2 UVPG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 xml:space="preserve">wird festgestellt, dass </w:t>
      </w:r>
      <w:r>
        <w:rPr>
          <w:rFonts w:ascii="Arial" w:hAnsi="Arial" w:cs="Arial"/>
          <w:color w:val="000000" w:themeColor="text1"/>
          <w:sz w:val="22"/>
          <w:szCs w:val="22"/>
        </w:rPr>
        <w:t>die Anlage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 xml:space="preserve"> keine erheblichen nachteiligen Umwelteinwirkungen hervorrufen kann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und somit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>keine UVP-Pflicht besteht</w:t>
      </w:r>
      <w:r w:rsidR="00A924C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Nach Prüfung der Kriterien der Anlage 3 zum UVPG ergib</w:t>
      </w:r>
      <w:r w:rsidR="003633F8">
        <w:rPr>
          <w:rFonts w:ascii="Arial" w:hAnsi="Arial" w:cs="Arial"/>
          <w:color w:val="000000" w:themeColor="text1"/>
          <w:sz w:val="22"/>
          <w:szCs w:val="22"/>
        </w:rPr>
        <w:t xml:space="preserve">t sich dies im Wesentlichen </w:t>
      </w:r>
      <w:r w:rsidR="001F1BF7">
        <w:rPr>
          <w:rFonts w:ascii="Arial" w:hAnsi="Arial" w:cs="Arial"/>
          <w:color w:val="000000" w:themeColor="text1"/>
          <w:sz w:val="22"/>
          <w:szCs w:val="22"/>
        </w:rPr>
        <w:t>ausfolgenden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>Gründe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n: </w:t>
      </w:r>
    </w:p>
    <w:p w14:paraId="273FC02F" w14:textId="6F1A50CF" w:rsidR="00C0230C" w:rsidRDefault="00C0230C" w:rsidP="0098126A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2911E5" w14:textId="2C2FE92C" w:rsidR="001631BA" w:rsidRDefault="00E56C3C" w:rsidP="0083094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Der alte Schmelzofen, </w:t>
      </w:r>
      <w:r w:rsidR="000164F8">
        <w:rPr>
          <w:rFonts w:ascii="Arial" w:hAnsi="Arial" w:cs="Arial"/>
          <w:color w:val="000000" w:themeColor="text1"/>
          <w:sz w:val="22"/>
          <w:szCs w:val="22"/>
        </w:rPr>
        <w:t>BE 1201</w:t>
      </w:r>
      <w:r w:rsidR="006B4978">
        <w:rPr>
          <w:rFonts w:ascii="Arial" w:hAnsi="Arial" w:cs="Arial"/>
          <w:color w:val="000000" w:themeColor="text1"/>
          <w:sz w:val="22"/>
          <w:szCs w:val="22"/>
        </w:rPr>
        <w:t xml:space="preserve"> wird</w:t>
      </w:r>
      <w:r w:rsidR="00911C4E" w:rsidRPr="000F04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040C">
        <w:rPr>
          <w:rFonts w:ascii="Arial" w:hAnsi="Arial" w:cs="Arial"/>
          <w:color w:val="000000" w:themeColor="text1"/>
          <w:sz w:val="22"/>
          <w:szCs w:val="22"/>
        </w:rPr>
        <w:t xml:space="preserve">abgerissen. 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 xml:space="preserve">Der neue </w:t>
      </w:r>
      <w:r w:rsidR="003025FD" w:rsidRPr="00790EF8">
        <w:rPr>
          <w:rFonts w:ascii="Arial" w:hAnsi="Arial" w:cs="Arial"/>
          <w:color w:val="000000" w:themeColor="text1"/>
          <w:sz w:val="22"/>
          <w:szCs w:val="22"/>
        </w:rPr>
        <w:t>Schmelzofen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3025FD" w:rsidRPr="00790E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>BE 1205 wird</w:t>
      </w:r>
      <w:r w:rsidR="003025FD" w:rsidRPr="00790EF8">
        <w:rPr>
          <w:rFonts w:ascii="Arial" w:hAnsi="Arial" w:cs="Arial"/>
          <w:color w:val="000000" w:themeColor="text1"/>
          <w:sz w:val="22"/>
          <w:szCs w:val="22"/>
        </w:rPr>
        <w:t xml:space="preserve"> einen eigenen Schornstein (Quelle Q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 xml:space="preserve"> 2.3</w:t>
      </w:r>
      <w:r w:rsidR="003025FD" w:rsidRPr="00790EF8">
        <w:rPr>
          <w:rFonts w:ascii="Arial" w:hAnsi="Arial" w:cs="Arial"/>
          <w:color w:val="000000" w:themeColor="text1"/>
          <w:sz w:val="22"/>
          <w:szCs w:val="22"/>
        </w:rPr>
        <w:t>) für die Ableitun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>g der Abgase über Dach erhalten und</w:t>
      </w:r>
      <w:r w:rsidR="003025FD" w:rsidRPr="000F04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>ebenfalls mit Erdgas beheizt. D</w:t>
      </w:r>
      <w:r w:rsidR="003025FD" w:rsidRPr="000F040C">
        <w:rPr>
          <w:rFonts w:ascii="Arial" w:hAnsi="Arial" w:cs="Arial"/>
          <w:color w:val="000000" w:themeColor="text1"/>
          <w:sz w:val="22"/>
          <w:szCs w:val="22"/>
        </w:rPr>
        <w:t>e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>r</w:t>
      </w:r>
      <w:r w:rsidR="003025FD" w:rsidRPr="000F040C">
        <w:rPr>
          <w:rFonts w:ascii="Arial" w:hAnsi="Arial" w:cs="Arial"/>
          <w:color w:val="000000" w:themeColor="text1"/>
          <w:sz w:val="22"/>
          <w:szCs w:val="22"/>
        </w:rPr>
        <w:t xml:space="preserve"> neue 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>Schmelzo</w:t>
      </w:r>
      <w:r w:rsidR="003025FD" w:rsidRPr="000F040C">
        <w:rPr>
          <w:rFonts w:ascii="Arial" w:hAnsi="Arial" w:cs="Arial"/>
          <w:color w:val="000000" w:themeColor="text1"/>
          <w:sz w:val="22"/>
          <w:szCs w:val="22"/>
        </w:rPr>
        <w:t>fen besitzt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 xml:space="preserve"> gegenüber dem alten Schmelzofen</w:t>
      </w:r>
      <w:r w:rsidR="003025FD" w:rsidRPr="000F040C">
        <w:rPr>
          <w:rFonts w:ascii="Arial" w:hAnsi="Arial" w:cs="Arial"/>
          <w:color w:val="000000" w:themeColor="text1"/>
          <w:sz w:val="22"/>
          <w:szCs w:val="22"/>
        </w:rPr>
        <w:t xml:space="preserve"> eine 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>um 0,5 t/h</w:t>
      </w:r>
      <w:r w:rsidR="003025FD" w:rsidRPr="000F040C">
        <w:rPr>
          <w:rFonts w:ascii="Arial" w:hAnsi="Arial" w:cs="Arial"/>
          <w:color w:val="000000" w:themeColor="text1"/>
          <w:sz w:val="22"/>
          <w:szCs w:val="22"/>
        </w:rPr>
        <w:t xml:space="preserve"> höhere Heiz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 xml:space="preserve">- und </w:t>
      </w:r>
      <w:r w:rsidR="003025FD" w:rsidRPr="000F040C">
        <w:rPr>
          <w:rFonts w:ascii="Arial" w:hAnsi="Arial" w:cs="Arial"/>
          <w:color w:val="000000" w:themeColor="text1"/>
          <w:sz w:val="22"/>
          <w:szCs w:val="22"/>
        </w:rPr>
        <w:t>Schmelzleistung, lä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>sst</w:t>
      </w:r>
      <w:r w:rsidR="003025FD" w:rsidRPr="000F040C">
        <w:rPr>
          <w:rFonts w:ascii="Arial" w:hAnsi="Arial" w:cs="Arial"/>
          <w:color w:val="000000" w:themeColor="text1"/>
          <w:sz w:val="22"/>
          <w:szCs w:val="22"/>
        </w:rPr>
        <w:t xml:space="preserve"> sich durch die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 xml:space="preserve"> drei</w:t>
      </w:r>
      <w:r w:rsidR="003025FD" w:rsidRPr="000F040C">
        <w:rPr>
          <w:rFonts w:ascii="Arial" w:hAnsi="Arial" w:cs="Arial"/>
          <w:color w:val="000000" w:themeColor="text1"/>
          <w:sz w:val="22"/>
          <w:szCs w:val="22"/>
        </w:rPr>
        <w:t xml:space="preserve"> kleineren Brenner besser energetisch 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>regel</w:t>
      </w:r>
      <w:r w:rsidR="003025FD" w:rsidRPr="000F040C">
        <w:rPr>
          <w:rFonts w:ascii="Arial" w:hAnsi="Arial" w:cs="Arial"/>
          <w:color w:val="000000" w:themeColor="text1"/>
          <w:sz w:val="22"/>
          <w:szCs w:val="22"/>
        </w:rPr>
        <w:t>n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 xml:space="preserve"> und hat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deshalb 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>einen geringeren Gasverbrauch</w:t>
      </w:r>
      <w:r w:rsidR="003025FD" w:rsidRPr="000F040C">
        <w:rPr>
          <w:rFonts w:ascii="Arial" w:hAnsi="Arial" w:cs="Arial"/>
          <w:color w:val="000000" w:themeColor="text1"/>
          <w:sz w:val="22"/>
          <w:szCs w:val="22"/>
        </w:rPr>
        <w:t>.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47A6">
        <w:rPr>
          <w:rFonts w:ascii="Arial" w:hAnsi="Arial" w:cs="Arial"/>
          <w:color w:val="000000" w:themeColor="text1"/>
          <w:sz w:val="22"/>
          <w:szCs w:val="22"/>
        </w:rPr>
        <w:t xml:space="preserve">Die Umbaumaßnahmen erfolgen ausschließlich </w:t>
      </w:r>
      <w:r w:rsidR="00113679">
        <w:rPr>
          <w:rFonts w:ascii="Arial" w:hAnsi="Arial" w:cs="Arial"/>
          <w:color w:val="000000" w:themeColor="text1"/>
          <w:sz w:val="22"/>
          <w:szCs w:val="22"/>
        </w:rPr>
        <w:t>im</w:t>
      </w:r>
      <w:r w:rsidR="00D747A6">
        <w:rPr>
          <w:rFonts w:ascii="Arial" w:hAnsi="Arial" w:cs="Arial"/>
          <w:color w:val="000000" w:themeColor="text1"/>
          <w:sz w:val="22"/>
          <w:szCs w:val="22"/>
        </w:rPr>
        <w:t xml:space="preserve"> bestehenden G</w:t>
      </w:r>
      <w:r w:rsidR="00113679">
        <w:rPr>
          <w:rFonts w:ascii="Arial" w:hAnsi="Arial" w:cs="Arial"/>
          <w:color w:val="000000" w:themeColor="text1"/>
          <w:sz w:val="22"/>
          <w:szCs w:val="22"/>
        </w:rPr>
        <w:t>ießereigebäude</w:t>
      </w:r>
      <w:r w:rsidR="00D747A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747A6" w:rsidRPr="00D747A6">
        <w:rPr>
          <w:rFonts w:ascii="Arial" w:hAnsi="Arial" w:cs="Arial"/>
          <w:color w:val="000000" w:themeColor="text1"/>
          <w:sz w:val="22"/>
          <w:szCs w:val="22"/>
        </w:rPr>
        <w:t>Durch das Vorhaben entstehen keine neuen Abfälle</w:t>
      </w:r>
      <w:r w:rsidR="005F53FB" w:rsidRPr="005F53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53FB" w:rsidRPr="00D747A6">
        <w:rPr>
          <w:rFonts w:ascii="Arial" w:hAnsi="Arial" w:cs="Arial"/>
          <w:color w:val="000000" w:themeColor="text1"/>
          <w:sz w:val="22"/>
          <w:szCs w:val="22"/>
        </w:rPr>
        <w:t>oder zusätzliches belastetes Abwasser</w:t>
      </w:r>
      <w:r w:rsidR="00D747A6" w:rsidRPr="00D747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1190">
        <w:rPr>
          <w:rFonts w:ascii="Arial" w:hAnsi="Arial" w:cs="Arial"/>
          <w:color w:val="000000" w:themeColor="text1"/>
          <w:sz w:val="22"/>
          <w:szCs w:val="22"/>
        </w:rPr>
        <w:t>außer dem Abrissmaterial des alten Schmelzofens</w:t>
      </w:r>
      <w:r w:rsidR="00D747A6" w:rsidRPr="00D747A6">
        <w:rPr>
          <w:rFonts w:ascii="Arial" w:hAnsi="Arial" w:cs="Arial"/>
          <w:color w:val="000000" w:themeColor="text1"/>
          <w:sz w:val="22"/>
          <w:szCs w:val="22"/>
        </w:rPr>
        <w:t>. Es werden keine neuen Einsatzstoffe verwendet</w:t>
      </w:r>
      <w:r w:rsidR="00E56BE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87095">
        <w:rPr>
          <w:rFonts w:ascii="ArialMT" w:eastAsiaTheme="minorHAnsi" w:hAnsi="ArialMT" w:cs="ArialMT"/>
          <w:sz w:val="22"/>
          <w:szCs w:val="22"/>
          <w:lang w:eastAsia="en-US"/>
        </w:rPr>
        <w:t>In der Schmelz- und Gießanlage sowie der angesch</w:t>
      </w:r>
      <w:r w:rsidR="00315D39">
        <w:rPr>
          <w:rFonts w:ascii="ArialMT" w:eastAsiaTheme="minorHAnsi" w:hAnsi="ArialMT" w:cs="ArialMT"/>
          <w:sz w:val="22"/>
          <w:szCs w:val="22"/>
          <w:lang w:eastAsia="en-US"/>
        </w:rPr>
        <w:t xml:space="preserve">lossenen Nachbearbeitung wird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im Schichtbetrieb </w:t>
      </w:r>
      <w:r w:rsidR="00315D39" w:rsidRPr="00315D39">
        <w:rPr>
          <w:rFonts w:ascii="ArialMT" w:eastAsiaTheme="minorHAnsi" w:hAnsi="ArialMT" w:cs="ArialMT"/>
          <w:sz w:val="22"/>
          <w:szCs w:val="22"/>
          <w:lang w:eastAsia="en-US"/>
        </w:rPr>
        <w:t xml:space="preserve">von Montag – Sonntag, </w:t>
      </w:r>
      <w:r w:rsidR="00315D39" w:rsidRPr="00315D39">
        <w:rPr>
          <w:rFonts w:ascii="ArialMT" w:eastAsiaTheme="minorHAnsi" w:hAnsi="ArialMT" w:cs="ArialMT"/>
          <w:sz w:val="22"/>
          <w:szCs w:val="22"/>
          <w:lang w:eastAsia="en-US"/>
        </w:rPr>
        <w:lastRenderedPageBreak/>
        <w:t xml:space="preserve">0:00 – 24:00 Uhr </w:t>
      </w:r>
      <w:r w:rsidR="00087095">
        <w:rPr>
          <w:rFonts w:ascii="ArialMT" w:eastAsiaTheme="minorHAnsi" w:hAnsi="ArialMT" w:cs="ArialMT"/>
          <w:sz w:val="22"/>
          <w:szCs w:val="22"/>
          <w:lang w:eastAsia="en-US"/>
        </w:rPr>
        <w:t>gearbeitet. Die Betriebszeit und d</w:t>
      </w:r>
      <w:r w:rsidR="00BA6F3D">
        <w:rPr>
          <w:rFonts w:ascii="ArialMT" w:eastAsiaTheme="minorHAnsi" w:hAnsi="ArialMT" w:cs="ArialMT"/>
          <w:sz w:val="22"/>
          <w:szCs w:val="22"/>
          <w:lang w:eastAsia="en-US"/>
        </w:rPr>
        <w:t>ie Anzahl der Mitarbeiter bleiben</w:t>
      </w:r>
      <w:r w:rsidR="00087095">
        <w:rPr>
          <w:rFonts w:ascii="ArialMT" w:eastAsiaTheme="minorHAnsi" w:hAnsi="ArialMT" w:cs="ArialMT"/>
          <w:sz w:val="22"/>
          <w:szCs w:val="22"/>
          <w:lang w:eastAsia="en-US"/>
        </w:rPr>
        <w:t xml:space="preserve"> unverändert.</w:t>
      </w:r>
      <w:r w:rsidR="002614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72BF">
        <w:rPr>
          <w:rFonts w:ascii="Arial" w:hAnsi="Arial" w:cs="Arial"/>
          <w:color w:val="000000" w:themeColor="text1"/>
          <w:sz w:val="22"/>
          <w:szCs w:val="22"/>
        </w:rPr>
        <w:t>D</w:t>
      </w:r>
      <w:r w:rsidR="00177F35">
        <w:rPr>
          <w:rFonts w:ascii="Arial" w:hAnsi="Arial" w:cs="Arial"/>
          <w:color w:val="000000" w:themeColor="text1"/>
          <w:sz w:val="22"/>
          <w:szCs w:val="22"/>
        </w:rPr>
        <w:t xml:space="preserve">ie </w:t>
      </w:r>
      <w:r w:rsidR="00087095">
        <w:rPr>
          <w:rFonts w:ascii="Arial" w:hAnsi="Arial" w:cs="Arial"/>
          <w:color w:val="000000" w:themeColor="text1"/>
          <w:sz w:val="22"/>
          <w:szCs w:val="22"/>
        </w:rPr>
        <w:t xml:space="preserve">vorhandenen </w:t>
      </w:r>
      <w:r w:rsidR="000572BF">
        <w:rPr>
          <w:rFonts w:ascii="Arial" w:hAnsi="Arial" w:cs="Arial"/>
          <w:color w:val="000000" w:themeColor="text1"/>
          <w:sz w:val="22"/>
          <w:szCs w:val="22"/>
        </w:rPr>
        <w:t>Schmelzk</w:t>
      </w:r>
      <w:r w:rsidR="00E33B86">
        <w:rPr>
          <w:rFonts w:ascii="Arial" w:hAnsi="Arial" w:cs="Arial"/>
          <w:color w:val="000000" w:themeColor="text1"/>
          <w:sz w:val="22"/>
          <w:szCs w:val="22"/>
        </w:rPr>
        <w:t xml:space="preserve">apazitäten der drei </w:t>
      </w:r>
      <w:r w:rsidR="00315D39">
        <w:rPr>
          <w:rFonts w:ascii="Arial" w:hAnsi="Arial" w:cs="Arial"/>
          <w:color w:val="000000" w:themeColor="text1"/>
          <w:sz w:val="22"/>
          <w:szCs w:val="22"/>
        </w:rPr>
        <w:t>bestehen</w:t>
      </w:r>
      <w:r w:rsidR="00E33B86">
        <w:rPr>
          <w:rFonts w:ascii="Arial" w:hAnsi="Arial" w:cs="Arial"/>
          <w:color w:val="000000" w:themeColor="text1"/>
          <w:sz w:val="22"/>
          <w:szCs w:val="22"/>
        </w:rPr>
        <w:t>den Schmelzöfen und des neuen Schmelzofens</w:t>
      </w:r>
      <w:r w:rsidR="000572BF">
        <w:rPr>
          <w:rFonts w:ascii="Arial" w:hAnsi="Arial" w:cs="Arial"/>
          <w:color w:val="000000" w:themeColor="text1"/>
          <w:sz w:val="22"/>
          <w:szCs w:val="22"/>
        </w:rPr>
        <w:t xml:space="preserve"> betr</w:t>
      </w:r>
      <w:r w:rsidR="0026142B">
        <w:rPr>
          <w:rFonts w:ascii="Arial" w:hAnsi="Arial" w:cs="Arial"/>
          <w:color w:val="000000" w:themeColor="text1"/>
          <w:sz w:val="22"/>
          <w:szCs w:val="22"/>
        </w:rPr>
        <w:t>agen</w:t>
      </w:r>
      <w:r w:rsidR="005F53FB">
        <w:rPr>
          <w:rFonts w:ascii="Arial" w:hAnsi="Arial" w:cs="Arial"/>
          <w:color w:val="000000" w:themeColor="text1"/>
          <w:sz w:val="22"/>
          <w:szCs w:val="22"/>
        </w:rPr>
        <w:t xml:space="preserve"> insgesamt </w:t>
      </w:r>
      <w:r w:rsidR="00087095">
        <w:rPr>
          <w:rFonts w:ascii="Arial" w:hAnsi="Arial" w:cs="Arial"/>
          <w:color w:val="000000" w:themeColor="text1"/>
          <w:sz w:val="22"/>
          <w:szCs w:val="22"/>
        </w:rPr>
        <w:t xml:space="preserve">maximal </w:t>
      </w:r>
      <w:r w:rsidR="002E3C33">
        <w:rPr>
          <w:rFonts w:ascii="Arial" w:hAnsi="Arial" w:cs="Arial"/>
          <w:color w:val="000000" w:themeColor="text1"/>
          <w:sz w:val="22"/>
          <w:szCs w:val="22"/>
        </w:rPr>
        <w:t>216 t/d</w:t>
      </w:r>
      <w:r w:rsidR="000572BF">
        <w:rPr>
          <w:rFonts w:ascii="Arial" w:hAnsi="Arial" w:cs="Arial"/>
          <w:color w:val="000000" w:themeColor="text1"/>
          <w:sz w:val="22"/>
          <w:szCs w:val="22"/>
        </w:rPr>
        <w:t xml:space="preserve"> Aluminium und Aluminiumlegierungen</w:t>
      </w:r>
      <w:r w:rsidR="00BA6F3D">
        <w:rPr>
          <w:rFonts w:ascii="Arial" w:hAnsi="Arial" w:cs="Arial"/>
          <w:color w:val="000000" w:themeColor="text1"/>
          <w:sz w:val="22"/>
          <w:szCs w:val="22"/>
        </w:rPr>
        <w:t xml:space="preserve">. Die tatsächlich erreichbare Schmelzkapazität liegt aufgrund von Legierungsvielfalt, Wartungszyklen, erforderlichen Reparaturen und der sehr unterschiedlichen Produktionsauslastung im Jahresverlauf darunter </w:t>
      </w:r>
      <w:r w:rsidR="009466E7">
        <w:rPr>
          <w:rFonts w:ascii="Arial" w:hAnsi="Arial" w:cs="Arial"/>
          <w:color w:val="000000" w:themeColor="text1"/>
          <w:sz w:val="22"/>
          <w:szCs w:val="22"/>
        </w:rPr>
        <w:t>und war bisher auf maximal 98 t/d begrenzt</w:t>
      </w:r>
      <w:r w:rsidR="0026142B">
        <w:rPr>
          <w:rFonts w:ascii="Arial" w:hAnsi="Arial" w:cs="Arial"/>
          <w:color w:val="000000" w:themeColor="text1"/>
          <w:sz w:val="22"/>
          <w:szCs w:val="22"/>
        </w:rPr>
        <w:t>.</w:t>
      </w:r>
      <w:r w:rsidR="009466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6F3D">
        <w:rPr>
          <w:rFonts w:ascii="Arial" w:hAnsi="Arial" w:cs="Arial"/>
          <w:color w:val="000000" w:themeColor="text1"/>
          <w:sz w:val="22"/>
          <w:szCs w:val="22"/>
        </w:rPr>
        <w:t>Diese Begrenzung wird aufgehoben und eine neue Begrenzung auf 117 t/d festgelegt.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66E7">
        <w:rPr>
          <w:rFonts w:ascii="Arial" w:hAnsi="Arial" w:cs="Arial"/>
          <w:color w:val="000000" w:themeColor="text1"/>
          <w:sz w:val="22"/>
          <w:szCs w:val="22"/>
        </w:rPr>
        <w:t xml:space="preserve">Bei Bedarf wird auch Flüssigmetall bezogen. </w:t>
      </w:r>
      <w:r w:rsidR="00FD2D24">
        <w:rPr>
          <w:rFonts w:ascii="Arial" w:hAnsi="Arial" w:cs="Arial"/>
          <w:color w:val="000000" w:themeColor="text1"/>
          <w:sz w:val="22"/>
          <w:szCs w:val="22"/>
        </w:rPr>
        <w:t>Im Zuge d</w:t>
      </w:r>
      <w:r w:rsidR="001D6499">
        <w:rPr>
          <w:rFonts w:ascii="Arial" w:hAnsi="Arial" w:cs="Arial"/>
          <w:color w:val="000000" w:themeColor="text1"/>
          <w:sz w:val="22"/>
          <w:szCs w:val="22"/>
        </w:rPr>
        <w:t xml:space="preserve">er Änderung werden </w:t>
      </w:r>
      <w:r w:rsidR="00D32A26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1D6499">
        <w:rPr>
          <w:rFonts w:ascii="Arial" w:hAnsi="Arial" w:cs="Arial"/>
          <w:color w:val="000000" w:themeColor="text1"/>
          <w:sz w:val="22"/>
          <w:szCs w:val="22"/>
        </w:rPr>
        <w:t>Massenkonzentration für Fluorwasserstoff und NO</w:t>
      </w:r>
      <w:r w:rsidR="001D6499" w:rsidRPr="00E56BE3">
        <w:rPr>
          <w:rFonts w:ascii="Arial" w:hAnsi="Arial" w:cs="Arial"/>
          <w:color w:val="000000" w:themeColor="text1"/>
          <w:sz w:val="22"/>
          <w:szCs w:val="22"/>
          <w:vertAlign w:val="subscript"/>
        </w:rPr>
        <w:t>x</w:t>
      </w:r>
      <w:r w:rsidR="001D6499">
        <w:rPr>
          <w:rFonts w:ascii="Arial" w:hAnsi="Arial" w:cs="Arial"/>
          <w:color w:val="000000" w:themeColor="text1"/>
          <w:sz w:val="22"/>
          <w:szCs w:val="22"/>
        </w:rPr>
        <w:t xml:space="preserve"> der Abgasanlagen der bestehenden Schmelzanlagen abgesenkt. </w:t>
      </w:r>
      <w:r w:rsidR="001D6499">
        <w:rPr>
          <w:rFonts w:ascii="ArialMT" w:eastAsiaTheme="minorHAnsi" w:hAnsi="ArialMT" w:cs="ArialMT"/>
          <w:sz w:val="22"/>
          <w:szCs w:val="22"/>
          <w:lang w:eastAsia="en-US"/>
        </w:rPr>
        <w:t xml:space="preserve">Beim Schmelz- und Warmhaltevorgang werden keine Zusätze verwendet. Abkrätz- und Reinigungssalze finden bedarfsweise zur abfallarmen Pflege des Schmelzbades sowie zur Ofenreinigung Verwendung. Zur Reinigung der Schmelze außerhalb der Schmelzöfen wird ausschließlich gasförmiger Stickstoff eingesetzt. </w:t>
      </w:r>
      <w:r w:rsidR="008B70C1">
        <w:rPr>
          <w:rFonts w:ascii="ArialMT" w:eastAsiaTheme="minorHAnsi" w:hAnsi="ArialMT" w:cs="ArialMT"/>
          <w:sz w:val="22"/>
          <w:szCs w:val="22"/>
          <w:lang w:eastAsia="en-US"/>
        </w:rPr>
        <w:t>Die Gießanlage (BE 1300) besteht aus insgesamt 31 Druckgießmaschinen. D</w:t>
      </w:r>
      <w:r w:rsidR="005933FE">
        <w:rPr>
          <w:rFonts w:ascii="Arial" w:hAnsi="Arial" w:cs="Arial"/>
          <w:color w:val="000000" w:themeColor="text1"/>
          <w:sz w:val="22"/>
          <w:szCs w:val="22"/>
        </w:rPr>
        <w:t xml:space="preserve">ie </w:t>
      </w:r>
      <w:r w:rsidR="000572BF">
        <w:rPr>
          <w:rFonts w:ascii="Arial" w:hAnsi="Arial" w:cs="Arial"/>
          <w:color w:val="000000" w:themeColor="text1"/>
          <w:sz w:val="22"/>
          <w:szCs w:val="22"/>
        </w:rPr>
        <w:t>G</w:t>
      </w:r>
      <w:r w:rsidR="00E33B86">
        <w:rPr>
          <w:rFonts w:ascii="Arial" w:hAnsi="Arial" w:cs="Arial"/>
          <w:color w:val="000000" w:themeColor="text1"/>
          <w:sz w:val="22"/>
          <w:szCs w:val="22"/>
        </w:rPr>
        <w:t xml:space="preserve">ießleistung der 31 Druckgießmaschinen </w:t>
      </w:r>
      <w:r w:rsidR="005933FE">
        <w:rPr>
          <w:rFonts w:ascii="Arial" w:hAnsi="Arial" w:cs="Arial"/>
          <w:color w:val="000000" w:themeColor="text1"/>
          <w:sz w:val="22"/>
          <w:szCs w:val="22"/>
        </w:rPr>
        <w:t xml:space="preserve">ist </w:t>
      </w:r>
      <w:r w:rsidR="00FD2D24">
        <w:rPr>
          <w:rFonts w:ascii="Arial" w:hAnsi="Arial" w:cs="Arial"/>
          <w:color w:val="000000" w:themeColor="text1"/>
          <w:sz w:val="22"/>
          <w:szCs w:val="22"/>
        </w:rPr>
        <w:t xml:space="preserve">von der </w:t>
      </w:r>
      <w:r w:rsidR="0033228D">
        <w:rPr>
          <w:rFonts w:ascii="Arial" w:hAnsi="Arial" w:cs="Arial"/>
          <w:color w:val="000000" w:themeColor="text1"/>
          <w:sz w:val="22"/>
          <w:szCs w:val="22"/>
        </w:rPr>
        <w:t>M</w:t>
      </w:r>
      <w:r w:rsidR="009466E7">
        <w:rPr>
          <w:rFonts w:ascii="Arial" w:hAnsi="Arial" w:cs="Arial"/>
          <w:color w:val="000000" w:themeColor="text1"/>
          <w:sz w:val="22"/>
          <w:szCs w:val="22"/>
        </w:rPr>
        <w:t>eng</w:t>
      </w:r>
      <w:r w:rsidR="0033228D">
        <w:rPr>
          <w:rFonts w:ascii="Arial" w:hAnsi="Arial" w:cs="Arial"/>
          <w:color w:val="000000" w:themeColor="text1"/>
          <w:sz w:val="22"/>
          <w:szCs w:val="22"/>
        </w:rPr>
        <w:t xml:space="preserve">e der </w:t>
      </w:r>
      <w:r w:rsidR="00FD2D24">
        <w:rPr>
          <w:rFonts w:ascii="Arial" w:hAnsi="Arial" w:cs="Arial"/>
          <w:color w:val="000000" w:themeColor="text1"/>
          <w:sz w:val="22"/>
          <w:szCs w:val="22"/>
        </w:rPr>
        <w:t xml:space="preserve">bereitgestellten Schmelze, </w:t>
      </w:r>
      <w:r w:rsidR="003025FD">
        <w:rPr>
          <w:rFonts w:ascii="Arial" w:hAnsi="Arial" w:cs="Arial"/>
          <w:color w:val="000000" w:themeColor="text1"/>
          <w:sz w:val="22"/>
          <w:szCs w:val="22"/>
        </w:rPr>
        <w:t xml:space="preserve">vom Produktgewicht und </w:t>
      </w:r>
      <w:r w:rsidR="0026142B">
        <w:rPr>
          <w:rFonts w:ascii="Arial" w:hAnsi="Arial" w:cs="Arial"/>
          <w:color w:val="000000" w:themeColor="text1"/>
          <w:sz w:val="22"/>
          <w:szCs w:val="22"/>
        </w:rPr>
        <w:t xml:space="preserve">von den Taktzeiten </w:t>
      </w:r>
      <w:r w:rsidR="005933FE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0572BF">
        <w:rPr>
          <w:rFonts w:ascii="Arial" w:hAnsi="Arial" w:cs="Arial"/>
          <w:color w:val="000000" w:themeColor="text1"/>
          <w:sz w:val="22"/>
          <w:szCs w:val="22"/>
        </w:rPr>
        <w:t>Dauerg</w:t>
      </w:r>
      <w:r w:rsidR="005933FE">
        <w:rPr>
          <w:rFonts w:ascii="Arial" w:hAnsi="Arial" w:cs="Arial"/>
          <w:color w:val="000000" w:themeColor="text1"/>
          <w:sz w:val="22"/>
          <w:szCs w:val="22"/>
        </w:rPr>
        <w:t xml:space="preserve">ießform abhängig und wird </w:t>
      </w:r>
      <w:r w:rsidR="000572BF">
        <w:rPr>
          <w:rFonts w:ascii="Arial" w:hAnsi="Arial" w:cs="Arial"/>
          <w:color w:val="000000" w:themeColor="text1"/>
          <w:sz w:val="22"/>
          <w:szCs w:val="22"/>
        </w:rPr>
        <w:t xml:space="preserve">jeweils </w:t>
      </w:r>
      <w:r w:rsidR="005933FE">
        <w:rPr>
          <w:rFonts w:ascii="Arial" w:hAnsi="Arial" w:cs="Arial"/>
          <w:color w:val="000000" w:themeColor="text1"/>
          <w:sz w:val="22"/>
          <w:szCs w:val="22"/>
        </w:rPr>
        <w:t>angepasst</w:t>
      </w:r>
      <w:r w:rsidR="00E33B86">
        <w:rPr>
          <w:rFonts w:ascii="Arial" w:hAnsi="Arial" w:cs="Arial"/>
          <w:color w:val="000000" w:themeColor="text1"/>
          <w:sz w:val="22"/>
          <w:szCs w:val="22"/>
        </w:rPr>
        <w:t>.</w:t>
      </w:r>
      <w:r w:rsidR="00BA6F3D">
        <w:rPr>
          <w:rFonts w:ascii="Arial" w:hAnsi="Arial" w:cs="Arial"/>
          <w:color w:val="000000" w:themeColor="text1"/>
          <w:sz w:val="22"/>
          <w:szCs w:val="22"/>
        </w:rPr>
        <w:t xml:space="preserve"> Die Gießleistung war bisher analog der </w:t>
      </w:r>
      <w:r w:rsidR="00D63728">
        <w:rPr>
          <w:rFonts w:ascii="Arial" w:hAnsi="Arial" w:cs="Arial"/>
          <w:color w:val="000000" w:themeColor="text1"/>
          <w:sz w:val="22"/>
          <w:szCs w:val="22"/>
        </w:rPr>
        <w:t xml:space="preserve">genehmigten </w:t>
      </w:r>
      <w:r w:rsidR="00BA6F3D">
        <w:rPr>
          <w:rFonts w:ascii="Arial" w:hAnsi="Arial" w:cs="Arial"/>
          <w:color w:val="000000" w:themeColor="text1"/>
          <w:sz w:val="22"/>
          <w:szCs w:val="22"/>
        </w:rPr>
        <w:t>Schmelzleistung auf 98</w:t>
      </w:r>
      <w:r w:rsidR="001D64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6F3D">
        <w:rPr>
          <w:rFonts w:ascii="Arial" w:hAnsi="Arial" w:cs="Arial"/>
          <w:color w:val="000000" w:themeColor="text1"/>
          <w:sz w:val="22"/>
          <w:szCs w:val="22"/>
        </w:rPr>
        <w:t xml:space="preserve">t/d Aluminium und Aluminiumlegierungen begrenzt. Diese Begrenzung wird ebenfalls aufgehoben und eine neue Begrenzung von 117 t/d festgelegt. </w:t>
      </w:r>
      <w:r w:rsidR="00113679">
        <w:rPr>
          <w:rFonts w:ascii="ArialMT" w:eastAsiaTheme="minorHAnsi" w:hAnsi="ArialMT" w:cs="ArialMT"/>
          <w:sz w:val="22"/>
          <w:szCs w:val="22"/>
          <w:lang w:eastAsia="en-US"/>
        </w:rPr>
        <w:t xml:space="preserve">Die beim Druckgießen </w:t>
      </w:r>
      <w:r w:rsidR="00FD2D24">
        <w:rPr>
          <w:rFonts w:ascii="ArialMT" w:eastAsiaTheme="minorHAnsi" w:hAnsi="ArialMT" w:cs="ArialMT"/>
          <w:sz w:val="22"/>
          <w:szCs w:val="22"/>
          <w:lang w:eastAsia="en-US"/>
        </w:rPr>
        <w:t>auftretenden Kohlenwasserstoff-</w:t>
      </w:r>
      <w:r w:rsidR="00113679">
        <w:rPr>
          <w:rFonts w:ascii="ArialMT" w:eastAsiaTheme="minorHAnsi" w:hAnsi="ArialMT" w:cs="ArialMT"/>
          <w:sz w:val="22"/>
          <w:szCs w:val="22"/>
          <w:lang w:eastAsia="en-US"/>
        </w:rPr>
        <w:t>Emissionen werden durch sparsamen Einsatz von umweltverträglichen Formtrenn- und Gieskolbenschmiermittel minimiert.</w:t>
      </w:r>
      <w:r w:rsidR="009B2F4A">
        <w:rPr>
          <w:rFonts w:ascii="ArialMT" w:eastAsiaTheme="minorHAnsi" w:hAnsi="ArialMT" w:cs="ArialMT"/>
          <w:sz w:val="22"/>
          <w:szCs w:val="22"/>
          <w:lang w:eastAsia="en-US"/>
        </w:rPr>
        <w:t xml:space="preserve"> Anhand der beigefügten Immissionsprognose wurde nachgewiesen</w:t>
      </w:r>
      <w:r w:rsidR="00D32A26">
        <w:rPr>
          <w:rFonts w:ascii="ArialMT" w:eastAsiaTheme="minorHAnsi" w:hAnsi="ArialMT" w:cs="ArialMT"/>
          <w:sz w:val="22"/>
          <w:szCs w:val="22"/>
          <w:lang w:eastAsia="en-US"/>
        </w:rPr>
        <w:t>,</w:t>
      </w:r>
      <w:r w:rsidR="00113679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830944">
        <w:rPr>
          <w:rFonts w:ascii="ArialMT" w:eastAsiaTheme="minorHAnsi" w:hAnsi="ArialMT" w:cs="ArialMT"/>
          <w:sz w:val="22"/>
          <w:szCs w:val="22"/>
          <w:lang w:eastAsia="en-US"/>
        </w:rPr>
        <w:t>das</w:t>
      </w:r>
      <w:r w:rsidR="00D32A26">
        <w:rPr>
          <w:rFonts w:ascii="ArialMT" w:eastAsiaTheme="minorHAnsi" w:hAnsi="ArialMT" w:cs="ArialMT"/>
          <w:sz w:val="22"/>
          <w:szCs w:val="22"/>
          <w:lang w:eastAsia="en-US"/>
        </w:rPr>
        <w:t>s</w:t>
      </w:r>
      <w:r w:rsidR="00830944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80739C">
        <w:rPr>
          <w:rFonts w:ascii="Helvetica" w:eastAsiaTheme="minorHAnsi" w:hAnsi="Helvetica" w:cs="Helvetica"/>
          <w:sz w:val="22"/>
          <w:szCs w:val="22"/>
          <w:lang w:eastAsia="en-US"/>
        </w:rPr>
        <w:t>die Vorgaben</w:t>
      </w:r>
      <w:r w:rsidR="00830944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247536">
        <w:rPr>
          <w:rFonts w:ascii="Helvetica" w:eastAsiaTheme="minorHAnsi" w:hAnsi="Helvetica" w:cs="Helvetica"/>
          <w:sz w:val="22"/>
          <w:szCs w:val="22"/>
          <w:lang w:eastAsia="en-US"/>
        </w:rPr>
        <w:t xml:space="preserve">der TA Luft </w:t>
      </w:r>
      <w:r w:rsidR="00830944">
        <w:rPr>
          <w:rFonts w:ascii="Helvetica" w:eastAsiaTheme="minorHAnsi" w:hAnsi="Helvetica" w:cs="Helvetica"/>
          <w:sz w:val="22"/>
          <w:szCs w:val="22"/>
          <w:lang w:eastAsia="en-US"/>
        </w:rPr>
        <w:t>eingehalten werden.</w:t>
      </w:r>
      <w:r w:rsidR="00830944" w:rsidRPr="00DD43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45D4E8B" w14:textId="77777777" w:rsidR="001631BA" w:rsidRDefault="001631BA" w:rsidP="0083094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36A7A5" w14:textId="3E419FA7" w:rsidR="00DD439E" w:rsidRPr="000F040C" w:rsidRDefault="001631BA" w:rsidP="0083094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="0040503D" w:rsidRPr="0040503D">
        <w:rPr>
          <w:rFonts w:ascii="Arial" w:hAnsi="Arial" w:cs="Arial"/>
          <w:color w:val="000000" w:themeColor="text1"/>
          <w:sz w:val="22"/>
          <w:szCs w:val="22"/>
        </w:rPr>
        <w:t xml:space="preserve">usätzliche Lkw-Anlieferungen von geschmolzenem Metall </w:t>
      </w:r>
      <w:r>
        <w:rPr>
          <w:rFonts w:ascii="Arial" w:hAnsi="Arial" w:cs="Arial"/>
          <w:color w:val="000000" w:themeColor="text1"/>
          <w:sz w:val="22"/>
          <w:szCs w:val="22"/>
        </w:rPr>
        <w:t>sollen</w:t>
      </w:r>
      <w:r w:rsidR="0040503D" w:rsidRPr="0040503D">
        <w:rPr>
          <w:rFonts w:ascii="Arial" w:hAnsi="Arial" w:cs="Arial"/>
          <w:color w:val="000000" w:themeColor="text1"/>
          <w:sz w:val="22"/>
          <w:szCs w:val="22"/>
        </w:rPr>
        <w:t xml:space="preserve"> ausschließlich im Tagzeitraum zwischen 6:00 Uhr und 22:00 Uhr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503D">
        <w:rPr>
          <w:rFonts w:ascii="Arial" w:hAnsi="Arial" w:cs="Arial"/>
          <w:color w:val="000000" w:themeColor="text1"/>
          <w:sz w:val="22"/>
          <w:szCs w:val="22"/>
        </w:rPr>
        <w:t>erfolgen</w:t>
      </w:r>
      <w:r w:rsidR="0040503D" w:rsidRPr="0040503D">
        <w:rPr>
          <w:rFonts w:ascii="Arial" w:hAnsi="Arial" w:cs="Arial"/>
          <w:color w:val="000000" w:themeColor="text1"/>
          <w:sz w:val="22"/>
          <w:szCs w:val="22"/>
        </w:rPr>
        <w:t>. Wird während den Nachtzeiten (22:00 Uhr abends bis 6:00 Uhr morgens) mehr geschmolzenes Metall benötigt, werden diese Kapazitäten über die vorhandenen Schmelzöfen geschmolzen, so</w:t>
      </w:r>
      <w:r w:rsidR="004050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503D" w:rsidRPr="0040503D">
        <w:rPr>
          <w:rFonts w:ascii="Arial" w:hAnsi="Arial" w:cs="Arial"/>
          <w:color w:val="000000" w:themeColor="text1"/>
          <w:sz w:val="22"/>
          <w:szCs w:val="22"/>
        </w:rPr>
        <w:t>dass nachts keine zusätzlichen Lkw-An- und Abfahrten stattfinden werden. Die zulässigen Immissionsanteile für die Nacht werden damit weiterhin eingehalten.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31BA">
        <w:rPr>
          <w:rFonts w:ascii="Arial" w:hAnsi="Arial" w:cs="Arial"/>
          <w:color w:val="000000" w:themeColor="text1"/>
          <w:sz w:val="22"/>
          <w:szCs w:val="22"/>
        </w:rPr>
        <w:t>Somit ist mit keinen erheblichen nachteiligen Auswirkungen auf die Schutzgüter durch Luftschadstoff</w:t>
      </w:r>
      <w:r>
        <w:rPr>
          <w:rFonts w:ascii="Arial" w:hAnsi="Arial" w:cs="Arial"/>
          <w:color w:val="000000" w:themeColor="text1"/>
          <w:sz w:val="22"/>
          <w:szCs w:val="22"/>
        </w:rPr>
        <w:t>- und Lärm</w:t>
      </w:r>
      <w:r w:rsidRPr="001631BA">
        <w:rPr>
          <w:rFonts w:ascii="Arial" w:hAnsi="Arial" w:cs="Arial"/>
          <w:color w:val="000000" w:themeColor="text1"/>
          <w:sz w:val="22"/>
          <w:szCs w:val="22"/>
        </w:rPr>
        <w:t>emissionen zu rechnen.</w:t>
      </w:r>
    </w:p>
    <w:p w14:paraId="1614E638" w14:textId="77777777" w:rsidR="00911C4E" w:rsidRPr="003D1522" w:rsidRDefault="00911C4E" w:rsidP="00830944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B198A3" w14:textId="77777777" w:rsidR="00C0230C" w:rsidRPr="00B234CF" w:rsidRDefault="00C0230C" w:rsidP="00830944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34CF">
        <w:rPr>
          <w:rFonts w:ascii="Arial" w:hAnsi="Arial" w:cs="Arial"/>
          <w:color w:val="000000" w:themeColor="text1"/>
          <w:sz w:val="22"/>
          <w:szCs w:val="22"/>
        </w:rPr>
        <w:t xml:space="preserve">Es wird darauf hingewiesen, dass gemäß § 5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Abs. 3 </w:t>
      </w:r>
      <w:r w:rsidRPr="00B234CF">
        <w:rPr>
          <w:rFonts w:ascii="Arial" w:hAnsi="Arial" w:cs="Arial"/>
          <w:color w:val="000000" w:themeColor="text1"/>
          <w:sz w:val="22"/>
          <w:szCs w:val="22"/>
        </w:rPr>
        <w:t xml:space="preserve">UVPG diese Entscheidung nicht selbstständig anfechtbar ist. Die Entscheidungsgründe sind der Öffentlichkeit nach den Bestimmungen des Thüringer Umweltinformationsgesetzes (ThürUIG) im 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Thüringer Landesamt für Umwelt, Bergbau und Naturschutz,</w:t>
      </w:r>
      <w:r w:rsidR="00A924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367DC">
        <w:rPr>
          <w:rFonts w:ascii="Arial" w:hAnsi="Arial" w:cs="Arial"/>
          <w:color w:val="000000" w:themeColor="text1"/>
          <w:sz w:val="22"/>
          <w:szCs w:val="22"/>
        </w:rPr>
        <w:t xml:space="preserve">Referat </w:t>
      </w:r>
      <w:r w:rsidR="0014358A">
        <w:rPr>
          <w:rFonts w:ascii="Arial" w:hAnsi="Arial" w:cs="Arial"/>
          <w:color w:val="000000" w:themeColor="text1"/>
          <w:sz w:val="22"/>
          <w:szCs w:val="22"/>
        </w:rPr>
        <w:t>61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D367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4C9">
        <w:rPr>
          <w:rFonts w:ascii="Arial" w:hAnsi="Arial" w:cs="Arial"/>
          <w:color w:val="000000" w:themeColor="text1"/>
          <w:sz w:val="22"/>
          <w:szCs w:val="22"/>
        </w:rPr>
        <w:t>Göschwitzer Str. 41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,</w:t>
      </w:r>
      <w:r w:rsidR="00A924C9">
        <w:rPr>
          <w:rFonts w:ascii="Arial" w:hAnsi="Arial" w:cs="Arial"/>
          <w:color w:val="000000" w:themeColor="text1"/>
          <w:sz w:val="22"/>
          <w:szCs w:val="22"/>
        </w:rPr>
        <w:t xml:space="preserve"> 07745 Jena </w:t>
      </w:r>
      <w:r w:rsidRPr="00B234CF">
        <w:rPr>
          <w:rFonts w:ascii="Arial" w:hAnsi="Arial" w:cs="Arial"/>
          <w:color w:val="000000" w:themeColor="text1"/>
          <w:sz w:val="22"/>
          <w:szCs w:val="22"/>
        </w:rPr>
        <w:t>zugänglich.</w:t>
      </w:r>
    </w:p>
    <w:p w14:paraId="783978C2" w14:textId="77777777" w:rsidR="00C0230C" w:rsidRDefault="00C0230C" w:rsidP="009812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DA989F" w14:textId="77777777" w:rsidR="00C0230C" w:rsidRPr="003D1522" w:rsidRDefault="00C0230C" w:rsidP="0098126A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Diese Bekanntgabe</w:t>
      </w:r>
      <w:r w:rsidRPr="003D1522">
        <w:rPr>
          <w:rFonts w:ascii="Arial" w:hAnsi="Arial" w:cs="Arial"/>
          <w:color w:val="000000" w:themeColor="text1"/>
          <w:sz w:val="22"/>
          <w:szCs w:val="22"/>
        </w:rPr>
        <w:t xml:space="preserve"> wird auch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auf der Homepage des TLUBN 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(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www.tlubn.</w:t>
        </w:r>
        <w:r w:rsidRPr="00F6267D">
          <w:rPr>
            <w:rStyle w:val="Hyperlink"/>
            <w:rFonts w:ascii="Arial" w:hAnsi="Arial" w:cs="Arial"/>
            <w:sz w:val="22"/>
            <w:szCs w:val="22"/>
          </w:rPr>
          <w:t>thueringen.de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) unter „Amtliche B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 xml:space="preserve">ekanntmachungen“ </w:t>
      </w:r>
      <w:r>
        <w:rPr>
          <w:rFonts w:ascii="Arial" w:hAnsi="Arial" w:cs="Arial"/>
          <w:color w:val="000000" w:themeColor="text1"/>
          <w:sz w:val="22"/>
          <w:szCs w:val="22"/>
        </w:rPr>
        <w:t>veröffentlicht.</w:t>
      </w:r>
    </w:p>
    <w:p w14:paraId="101DE634" w14:textId="77777777" w:rsidR="00C0230C" w:rsidRDefault="00C0230C" w:rsidP="0098126A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66151595" w14:textId="77777777" w:rsidR="00C0230C" w:rsidRPr="00261D14" w:rsidRDefault="00C0230C" w:rsidP="00C0230C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51E9D3EA" w14:textId="3E7E02E2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Jena, den</w:t>
      </w:r>
      <w:r w:rsidR="00F556A1">
        <w:rPr>
          <w:rFonts w:ascii="Arial" w:hAnsi="Arial" w:cs="Arial"/>
          <w:sz w:val="22"/>
          <w:szCs w:val="22"/>
        </w:rPr>
        <w:t xml:space="preserve"> 19.06.2024</w:t>
      </w:r>
      <w:r>
        <w:rPr>
          <w:rFonts w:ascii="Arial" w:hAnsi="Arial" w:cs="Arial"/>
          <w:sz w:val="22"/>
          <w:szCs w:val="22"/>
        </w:rPr>
        <w:tab/>
      </w:r>
    </w:p>
    <w:p w14:paraId="1273893C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75647260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2984B3D4" w14:textId="77777777" w:rsidR="00C0230C" w:rsidRPr="00472C01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B2F14">
        <w:rPr>
          <w:rFonts w:ascii="Arial" w:hAnsi="Arial" w:cs="Arial"/>
          <w:sz w:val="22"/>
          <w:szCs w:val="22"/>
        </w:rPr>
        <w:t>Thüringer Landesamt für Umwelt,</w:t>
      </w:r>
      <w:r>
        <w:rPr>
          <w:rFonts w:ascii="Arial" w:hAnsi="Arial" w:cs="Arial"/>
          <w:sz w:val="22"/>
          <w:szCs w:val="22"/>
        </w:rPr>
        <w:t xml:space="preserve"> </w:t>
      </w:r>
      <w:r w:rsidRPr="000B2F14">
        <w:rPr>
          <w:rFonts w:ascii="Arial" w:hAnsi="Arial" w:cs="Arial"/>
          <w:sz w:val="22"/>
          <w:szCs w:val="22"/>
        </w:rPr>
        <w:t>Bergbau und Naturschutz</w:t>
      </w:r>
      <w:r w:rsidRPr="000B2F14">
        <w:rPr>
          <w:rFonts w:ascii="Arial" w:hAnsi="Arial" w:cs="Arial"/>
          <w:sz w:val="22"/>
          <w:szCs w:val="22"/>
        </w:rPr>
        <w:cr/>
      </w:r>
      <w:r w:rsidRPr="00472C01">
        <w:rPr>
          <w:rFonts w:ascii="Arial" w:hAnsi="Arial" w:cs="Arial"/>
          <w:sz w:val="22"/>
          <w:szCs w:val="22"/>
        </w:rPr>
        <w:t>Der Präsident</w:t>
      </w:r>
    </w:p>
    <w:p w14:paraId="62F395AB" w14:textId="77777777" w:rsidR="00C0230C" w:rsidRPr="00472C01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4D9FE514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0A241BCB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264AE0F6" w14:textId="77777777" w:rsidR="00C0230C" w:rsidRPr="00FF63EF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B2F14">
        <w:rPr>
          <w:rFonts w:ascii="Arial" w:hAnsi="Arial" w:cs="Arial"/>
          <w:sz w:val="22"/>
          <w:szCs w:val="22"/>
        </w:rPr>
        <w:t>Mario Suckert</w:t>
      </w:r>
    </w:p>
    <w:p w14:paraId="21A50946" w14:textId="77777777" w:rsidR="003135EE" w:rsidRPr="00C0230C" w:rsidRDefault="003135EE" w:rsidP="00B361AD"/>
    <w:sectPr w:rsidR="003135EE" w:rsidRPr="00C02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7B6C"/>
    <w:multiLevelType w:val="hybridMultilevel"/>
    <w:tmpl w:val="6DDC0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340B4"/>
    <w:multiLevelType w:val="hybridMultilevel"/>
    <w:tmpl w:val="DF484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6B0A"/>
    <w:multiLevelType w:val="hybridMultilevel"/>
    <w:tmpl w:val="3A5C4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2A"/>
    <w:rsid w:val="000164F8"/>
    <w:rsid w:val="000572BF"/>
    <w:rsid w:val="00057D5F"/>
    <w:rsid w:val="00087095"/>
    <w:rsid w:val="000D5E4B"/>
    <w:rsid w:val="000F040C"/>
    <w:rsid w:val="00113679"/>
    <w:rsid w:val="0014358A"/>
    <w:rsid w:val="0015329A"/>
    <w:rsid w:val="00153471"/>
    <w:rsid w:val="001631BA"/>
    <w:rsid w:val="00177F35"/>
    <w:rsid w:val="001A7117"/>
    <w:rsid w:val="001C1128"/>
    <w:rsid w:val="001D6499"/>
    <w:rsid w:val="001F1BF7"/>
    <w:rsid w:val="00207C6C"/>
    <w:rsid w:val="00225F0D"/>
    <w:rsid w:val="00246CF6"/>
    <w:rsid w:val="00247536"/>
    <w:rsid w:val="0026142B"/>
    <w:rsid w:val="0028655C"/>
    <w:rsid w:val="002C6EBA"/>
    <w:rsid w:val="002E3C33"/>
    <w:rsid w:val="003025FD"/>
    <w:rsid w:val="00307C21"/>
    <w:rsid w:val="003135EE"/>
    <w:rsid w:val="00315D39"/>
    <w:rsid w:val="0033228D"/>
    <w:rsid w:val="003633F8"/>
    <w:rsid w:val="00366AA5"/>
    <w:rsid w:val="003C2005"/>
    <w:rsid w:val="0040503D"/>
    <w:rsid w:val="00432E2A"/>
    <w:rsid w:val="00443CAB"/>
    <w:rsid w:val="00443DEF"/>
    <w:rsid w:val="00451409"/>
    <w:rsid w:val="0048332D"/>
    <w:rsid w:val="0049510A"/>
    <w:rsid w:val="004A5467"/>
    <w:rsid w:val="00514ACB"/>
    <w:rsid w:val="00534324"/>
    <w:rsid w:val="005933FE"/>
    <w:rsid w:val="005F53FB"/>
    <w:rsid w:val="00611534"/>
    <w:rsid w:val="00627C8A"/>
    <w:rsid w:val="006B4978"/>
    <w:rsid w:val="006E122D"/>
    <w:rsid w:val="006E382D"/>
    <w:rsid w:val="006E4D23"/>
    <w:rsid w:val="00790EF8"/>
    <w:rsid w:val="0080739C"/>
    <w:rsid w:val="00830944"/>
    <w:rsid w:val="008B0AF6"/>
    <w:rsid w:val="008B70C1"/>
    <w:rsid w:val="00906276"/>
    <w:rsid w:val="00911C4E"/>
    <w:rsid w:val="009466E7"/>
    <w:rsid w:val="0098126A"/>
    <w:rsid w:val="0098258D"/>
    <w:rsid w:val="00984877"/>
    <w:rsid w:val="00997E04"/>
    <w:rsid w:val="009B2F4A"/>
    <w:rsid w:val="009D10A3"/>
    <w:rsid w:val="00A924C9"/>
    <w:rsid w:val="00A93775"/>
    <w:rsid w:val="00AA23FA"/>
    <w:rsid w:val="00AE5261"/>
    <w:rsid w:val="00B2523A"/>
    <w:rsid w:val="00B361AD"/>
    <w:rsid w:val="00BA651D"/>
    <w:rsid w:val="00BA6F3D"/>
    <w:rsid w:val="00BB5A86"/>
    <w:rsid w:val="00BC00B0"/>
    <w:rsid w:val="00C0230C"/>
    <w:rsid w:val="00C05546"/>
    <w:rsid w:val="00CA4B77"/>
    <w:rsid w:val="00D32A26"/>
    <w:rsid w:val="00D63728"/>
    <w:rsid w:val="00D747A6"/>
    <w:rsid w:val="00DC1190"/>
    <w:rsid w:val="00DC7CCF"/>
    <w:rsid w:val="00DD439E"/>
    <w:rsid w:val="00E102D4"/>
    <w:rsid w:val="00E33B86"/>
    <w:rsid w:val="00E56BE3"/>
    <w:rsid w:val="00E56C3C"/>
    <w:rsid w:val="00EF3CB9"/>
    <w:rsid w:val="00F556A1"/>
    <w:rsid w:val="00FD2D24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D868"/>
  <w15:chartTrackingRefBased/>
  <w15:docId w15:val="{F5176B92-8613-4B1F-8D4F-D9644B8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E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AA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7F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F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F3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F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F35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C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7C6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lubn-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TLUBN Sander, Winfried</dc:creator>
  <cp:keywords/>
  <dc:description/>
  <cp:lastModifiedBy>TLUBN Helm, Christian</cp:lastModifiedBy>
  <cp:revision>3</cp:revision>
  <dcterms:created xsi:type="dcterms:W3CDTF">2024-06-21T06:07:00Z</dcterms:created>
  <dcterms:modified xsi:type="dcterms:W3CDTF">2024-06-21T06:11:00Z</dcterms:modified>
</cp:coreProperties>
</file>