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DB239" w14:textId="77777777" w:rsidR="00C0230C" w:rsidRDefault="00C0230C" w:rsidP="00C0230C">
      <w:pPr>
        <w:jc w:val="center"/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Bekanntgabe</w:t>
      </w:r>
    </w:p>
    <w:p w14:paraId="3C7DB23A" w14:textId="77777777" w:rsidR="00C0230C" w:rsidRPr="00472C01" w:rsidRDefault="00C0230C" w:rsidP="00C0230C">
      <w:pPr>
        <w:jc w:val="center"/>
        <w:rPr>
          <w:rFonts w:ascii="Arial" w:hAnsi="Arial" w:cs="Arial"/>
          <w:sz w:val="22"/>
          <w:szCs w:val="22"/>
        </w:rPr>
      </w:pPr>
    </w:p>
    <w:p w14:paraId="3C7DB23C" w14:textId="3D989DB1" w:rsidR="00C0230C" w:rsidRPr="000F41BA" w:rsidRDefault="000F41BA" w:rsidP="00C0230C">
      <w:p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0F41BA">
        <w:rPr>
          <w:rFonts w:ascii="Arial" w:hAnsi="Arial" w:cs="Arial"/>
          <w:sz w:val="22"/>
          <w:szCs w:val="22"/>
        </w:rPr>
        <w:t xml:space="preserve">Die Firma Scholz Recycling GmbH, Stotternheimer Straße 45, 99086 Erfurt, stellte beim Thüringer Landesamt für Umwelt, Bergbau und Naturschutz (TLUBN) einen Antrag auf Erteilung einer Genehmigung nach § 16 Bundes-Immissionsschutzgesetz (BImSchG) zur wesentlichen Änderung Ihrer Schrottrecyclinganlage am Standort Arnstadt im Ilmkreis, 99310 Arnstadt, </w:t>
      </w:r>
      <w:r>
        <w:rPr>
          <w:rFonts w:ascii="Arial" w:hAnsi="Arial" w:cs="Arial"/>
          <w:sz w:val="22"/>
          <w:szCs w:val="22"/>
        </w:rPr>
        <w:t>Ichtershäuser Straße 57</w:t>
      </w:r>
      <w:r w:rsidRPr="000F41BA">
        <w:rPr>
          <w:rFonts w:ascii="Arial" w:hAnsi="Arial" w:cs="Arial"/>
          <w:sz w:val="22"/>
          <w:szCs w:val="22"/>
        </w:rPr>
        <w:t>.</w:t>
      </w:r>
    </w:p>
    <w:p w14:paraId="448D5526" w14:textId="77777777" w:rsidR="000F41BA" w:rsidRDefault="000F41BA" w:rsidP="00C0230C">
      <w:pPr>
        <w:spacing w:line="2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C7DB23D" w14:textId="2EDF2937" w:rsidR="00C0230C" w:rsidRDefault="00C0230C" w:rsidP="00C0230C">
      <w:pPr>
        <w:spacing w:line="2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</w:t>
      </w:r>
      <w:r w:rsidRPr="004E330F">
        <w:rPr>
          <w:rFonts w:ascii="Arial" w:hAnsi="Arial" w:cs="Arial"/>
          <w:color w:val="000000" w:themeColor="text1"/>
          <w:sz w:val="22"/>
          <w:szCs w:val="22"/>
        </w:rPr>
        <w:t>s handelt sich um ein Vorhaben, für welches nach Anlage 1 Nr</w:t>
      </w:r>
      <w:r w:rsidR="006E4DB5" w:rsidRPr="004E330F">
        <w:rPr>
          <w:rFonts w:ascii="Arial" w:hAnsi="Arial" w:cs="Arial"/>
          <w:color w:val="000000" w:themeColor="text1"/>
          <w:sz w:val="22"/>
          <w:szCs w:val="22"/>
        </w:rPr>
        <w:t>. 8.7.1.1</w:t>
      </w:r>
      <w:r w:rsidRPr="004E330F">
        <w:rPr>
          <w:rFonts w:ascii="Arial" w:hAnsi="Arial" w:cs="Arial"/>
          <w:color w:val="000000" w:themeColor="text1"/>
          <w:sz w:val="22"/>
          <w:szCs w:val="22"/>
        </w:rPr>
        <w:t xml:space="preserve"> des Gesetzes über die Umweltverträglichkeitsprüfung (UVPG)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eine </w:t>
      </w:r>
      <w:r w:rsidRPr="003D1522">
        <w:rPr>
          <w:rFonts w:ascii="Arial" w:hAnsi="Arial" w:cs="Arial"/>
          <w:color w:val="000000" w:themeColor="text1"/>
          <w:sz w:val="22"/>
          <w:szCs w:val="22"/>
        </w:rPr>
        <w:t>allgemeine Vorprüfung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B2F14">
        <w:rPr>
          <w:rFonts w:ascii="Arial" w:hAnsi="Arial" w:cs="Arial"/>
          <w:color w:val="000000" w:themeColor="text1"/>
          <w:sz w:val="22"/>
          <w:szCs w:val="22"/>
        </w:rPr>
        <w:t>des Einzelfalls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zu erfolgen hat</w:t>
      </w:r>
      <w:r w:rsidRPr="00B234C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23CF2EE" w14:textId="37406708" w:rsidR="000F41BA" w:rsidRDefault="000F41BA" w:rsidP="00C0230C">
      <w:pPr>
        <w:spacing w:line="2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CBD7E31" w14:textId="1E831181" w:rsidR="000F41BA" w:rsidRPr="003D1522" w:rsidRDefault="000F41BA" w:rsidP="00C0230C">
      <w:pPr>
        <w:spacing w:line="2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41BA">
        <w:rPr>
          <w:rFonts w:ascii="Arial" w:hAnsi="Arial" w:cs="Arial"/>
          <w:color w:val="000000" w:themeColor="text1"/>
          <w:sz w:val="22"/>
          <w:szCs w:val="22"/>
        </w:rPr>
        <w:t>Geplant ist der Ersatz der bestehenden Schrottschere durch eine neue Schere</w:t>
      </w:r>
      <w:r w:rsidR="0034247B">
        <w:rPr>
          <w:rFonts w:ascii="Arial" w:hAnsi="Arial" w:cs="Arial"/>
          <w:color w:val="000000" w:themeColor="text1"/>
          <w:sz w:val="22"/>
          <w:szCs w:val="22"/>
        </w:rPr>
        <w:t xml:space="preserve"> und</w:t>
      </w:r>
      <w:r w:rsidRPr="000F41BA">
        <w:rPr>
          <w:rFonts w:ascii="Arial" w:hAnsi="Arial" w:cs="Arial"/>
          <w:color w:val="000000" w:themeColor="text1"/>
          <w:sz w:val="22"/>
          <w:szCs w:val="22"/>
        </w:rPr>
        <w:t xml:space="preserve"> Erhöhung der Behandlungsmenge </w:t>
      </w:r>
      <w:r w:rsidR="0034247B" w:rsidRPr="000F41BA">
        <w:rPr>
          <w:rFonts w:ascii="Arial" w:hAnsi="Arial" w:cs="Arial"/>
          <w:color w:val="000000" w:themeColor="text1"/>
          <w:sz w:val="22"/>
          <w:szCs w:val="22"/>
        </w:rPr>
        <w:t xml:space="preserve">von 300 t/d </w:t>
      </w:r>
      <w:r w:rsidRPr="000F41BA">
        <w:rPr>
          <w:rFonts w:ascii="Arial" w:hAnsi="Arial" w:cs="Arial"/>
          <w:color w:val="000000" w:themeColor="text1"/>
          <w:sz w:val="22"/>
          <w:szCs w:val="22"/>
        </w:rPr>
        <w:t xml:space="preserve">auf insgesamt </w:t>
      </w:r>
      <w:r w:rsidR="00BF3E24" w:rsidRPr="000F41BA">
        <w:rPr>
          <w:rFonts w:ascii="Arial" w:hAnsi="Arial" w:cs="Arial"/>
          <w:color w:val="000000" w:themeColor="text1"/>
          <w:sz w:val="22"/>
          <w:szCs w:val="22"/>
        </w:rPr>
        <w:t>max.</w:t>
      </w:r>
      <w:r w:rsidR="00BF3E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F41BA">
        <w:rPr>
          <w:rFonts w:ascii="Arial" w:hAnsi="Arial" w:cs="Arial"/>
          <w:color w:val="000000" w:themeColor="text1"/>
          <w:sz w:val="22"/>
          <w:szCs w:val="22"/>
        </w:rPr>
        <w:t xml:space="preserve">500 t/d an nicht gefährlichen Abfällen, die Erhöhung des Durchsatzes der Brikettierpresse von bisher 0,9 t/d auf max. 8 </w:t>
      </w:r>
      <w:r w:rsidR="0034247B">
        <w:rPr>
          <w:rFonts w:ascii="Arial" w:hAnsi="Arial" w:cs="Arial"/>
          <w:color w:val="000000" w:themeColor="text1"/>
          <w:sz w:val="22"/>
          <w:szCs w:val="22"/>
        </w:rPr>
        <w:t>t/d an gefährlichen Abfällen.</w:t>
      </w:r>
    </w:p>
    <w:p w14:paraId="3C7DB23E" w14:textId="77777777" w:rsidR="00C0230C" w:rsidRPr="003D1522" w:rsidRDefault="00C0230C" w:rsidP="00C0230C">
      <w:pPr>
        <w:spacing w:line="2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C7DB241" w14:textId="77777777" w:rsidR="00C0230C" w:rsidRPr="00E14F54" w:rsidRDefault="00C0230C" w:rsidP="00C0230C">
      <w:pPr>
        <w:spacing w:line="2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Gemäß § 5 Abs. 2 </w:t>
      </w:r>
      <w:r w:rsidRPr="00E14F54">
        <w:rPr>
          <w:rFonts w:ascii="Arial" w:hAnsi="Arial" w:cs="Arial"/>
          <w:color w:val="000000" w:themeColor="text1"/>
          <w:sz w:val="22"/>
          <w:szCs w:val="22"/>
        </w:rPr>
        <w:t>UVPG wird bekannt gegeben:</w:t>
      </w:r>
    </w:p>
    <w:p w14:paraId="3C7DB242" w14:textId="062FA6F0" w:rsidR="00C0230C" w:rsidRDefault="00C0230C" w:rsidP="00C0230C">
      <w:pPr>
        <w:spacing w:line="2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Aufgrund der </w:t>
      </w:r>
      <w:r w:rsidRPr="003D1522">
        <w:rPr>
          <w:rFonts w:ascii="Arial" w:hAnsi="Arial" w:cs="Arial"/>
          <w:color w:val="000000" w:themeColor="text1"/>
          <w:sz w:val="22"/>
          <w:szCs w:val="22"/>
        </w:rPr>
        <w:t xml:space="preserve">allgemeinen Vorprüfung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des Einzelfalls </w:t>
      </w:r>
      <w:r w:rsidRPr="005D0F94">
        <w:rPr>
          <w:rFonts w:ascii="Arial" w:hAnsi="Arial" w:cs="Arial"/>
          <w:sz w:val="22"/>
          <w:szCs w:val="22"/>
        </w:rPr>
        <w:t xml:space="preserve">gemäß § 7 Abs. 1 UVPG </w:t>
      </w:r>
      <w:r w:rsidRPr="00E14F54">
        <w:rPr>
          <w:rFonts w:ascii="Arial" w:hAnsi="Arial" w:cs="Arial"/>
          <w:color w:val="000000" w:themeColor="text1"/>
          <w:sz w:val="22"/>
          <w:szCs w:val="22"/>
        </w:rPr>
        <w:t xml:space="preserve">wird festgestellt, dass </w:t>
      </w:r>
      <w:r>
        <w:rPr>
          <w:rFonts w:ascii="Arial" w:hAnsi="Arial" w:cs="Arial"/>
          <w:color w:val="000000" w:themeColor="text1"/>
          <w:sz w:val="22"/>
          <w:szCs w:val="22"/>
        </w:rPr>
        <w:t>die Anlage</w:t>
      </w:r>
      <w:r w:rsidRPr="00E14F54">
        <w:rPr>
          <w:rFonts w:ascii="Arial" w:hAnsi="Arial" w:cs="Arial"/>
          <w:color w:val="000000" w:themeColor="text1"/>
          <w:sz w:val="22"/>
          <w:szCs w:val="22"/>
        </w:rPr>
        <w:t xml:space="preserve"> keine erheblichen nachteiligen Umwelteinwirkungen hervorrufen kann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und somit </w:t>
      </w:r>
      <w:r w:rsidRPr="00E14F54">
        <w:rPr>
          <w:rFonts w:ascii="Arial" w:hAnsi="Arial" w:cs="Arial"/>
          <w:color w:val="000000" w:themeColor="text1"/>
          <w:sz w:val="22"/>
          <w:szCs w:val="22"/>
        </w:rPr>
        <w:t>keine UVP-Pflicht besteht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Nach Prüfung der Kriterien der Anlage 3 zum UVPG ergibt sich dies im Wesentlichen aus </w:t>
      </w:r>
      <w:r w:rsidR="005A35CC">
        <w:rPr>
          <w:rFonts w:ascii="Arial" w:hAnsi="Arial" w:cs="Arial"/>
          <w:color w:val="000000" w:themeColor="text1"/>
          <w:sz w:val="22"/>
          <w:szCs w:val="22"/>
        </w:rPr>
        <w:t xml:space="preserve">den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folgenden </w:t>
      </w:r>
      <w:r w:rsidRPr="00E14F54">
        <w:rPr>
          <w:rFonts w:ascii="Arial" w:hAnsi="Arial" w:cs="Arial"/>
          <w:color w:val="000000" w:themeColor="text1"/>
          <w:sz w:val="22"/>
          <w:szCs w:val="22"/>
        </w:rPr>
        <w:t>Gründe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n: </w:t>
      </w:r>
    </w:p>
    <w:p w14:paraId="3C7DB243" w14:textId="77777777" w:rsidR="00C0230C" w:rsidRDefault="00C0230C" w:rsidP="00C0230C">
      <w:pPr>
        <w:spacing w:line="2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BE94E7C" w14:textId="4781646C" w:rsidR="004E330F" w:rsidRDefault="004E330F" w:rsidP="00C0230C">
      <w:pPr>
        <w:spacing w:line="2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330F">
        <w:rPr>
          <w:rFonts w:ascii="Arial" w:hAnsi="Arial" w:cs="Arial"/>
          <w:color w:val="000000" w:themeColor="text1"/>
          <w:sz w:val="22"/>
          <w:szCs w:val="22"/>
        </w:rPr>
        <w:t>Die Schrottrecyclinganlage liegt in einem Gewerbegebiet</w:t>
      </w:r>
      <w:r w:rsidR="005A35CC">
        <w:rPr>
          <w:rFonts w:ascii="Arial" w:hAnsi="Arial" w:cs="Arial"/>
          <w:color w:val="000000" w:themeColor="text1"/>
          <w:sz w:val="22"/>
          <w:szCs w:val="22"/>
        </w:rPr>
        <w:t>.</w:t>
      </w:r>
      <w:r w:rsidRPr="004E330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35CC">
        <w:rPr>
          <w:rFonts w:ascii="Arial" w:hAnsi="Arial" w:cs="Arial"/>
          <w:color w:val="000000" w:themeColor="text1"/>
          <w:sz w:val="22"/>
          <w:szCs w:val="22"/>
        </w:rPr>
        <w:t>D</w:t>
      </w:r>
      <w:r w:rsidRPr="004E330F">
        <w:rPr>
          <w:rFonts w:ascii="Arial" w:hAnsi="Arial" w:cs="Arial"/>
          <w:color w:val="000000" w:themeColor="text1"/>
          <w:sz w:val="22"/>
          <w:szCs w:val="22"/>
        </w:rPr>
        <w:t xml:space="preserve">as Betriebsgelände wird seit den </w:t>
      </w:r>
      <w:r w:rsidR="00F62D6D">
        <w:rPr>
          <w:rFonts w:ascii="Arial" w:hAnsi="Arial" w:cs="Arial"/>
          <w:color w:val="000000" w:themeColor="text1"/>
          <w:sz w:val="22"/>
          <w:szCs w:val="22"/>
        </w:rPr>
        <w:t>fünfzig</w:t>
      </w:r>
      <w:r w:rsidRPr="004E330F">
        <w:rPr>
          <w:rFonts w:ascii="Arial" w:hAnsi="Arial" w:cs="Arial"/>
          <w:color w:val="000000" w:themeColor="text1"/>
          <w:sz w:val="22"/>
          <w:szCs w:val="22"/>
        </w:rPr>
        <w:t xml:space="preserve">er Jahren als Schrottplatz genutzt. Es ist keine Erweiterung des Betriebsgeländes geplant und es </w:t>
      </w:r>
      <w:r w:rsidR="005A35CC">
        <w:rPr>
          <w:rFonts w:ascii="Arial" w:hAnsi="Arial" w:cs="Arial"/>
          <w:color w:val="000000" w:themeColor="text1"/>
          <w:sz w:val="22"/>
          <w:szCs w:val="22"/>
        </w:rPr>
        <w:t>werden</w:t>
      </w:r>
      <w:r w:rsidRPr="004E330F">
        <w:rPr>
          <w:rFonts w:ascii="Arial" w:hAnsi="Arial" w:cs="Arial"/>
          <w:color w:val="000000" w:themeColor="text1"/>
          <w:sz w:val="22"/>
          <w:szCs w:val="22"/>
        </w:rPr>
        <w:t xml:space="preserve"> keine Bauarbeiten neben </w:t>
      </w:r>
      <w:r w:rsidR="005A35CC">
        <w:rPr>
          <w:rFonts w:ascii="Arial" w:hAnsi="Arial" w:cs="Arial"/>
          <w:color w:val="000000" w:themeColor="text1"/>
          <w:sz w:val="22"/>
          <w:szCs w:val="22"/>
        </w:rPr>
        <w:t xml:space="preserve">der </w:t>
      </w:r>
      <w:r w:rsidRPr="004E330F">
        <w:rPr>
          <w:rFonts w:ascii="Arial" w:hAnsi="Arial" w:cs="Arial"/>
          <w:color w:val="000000" w:themeColor="text1"/>
          <w:sz w:val="22"/>
          <w:szCs w:val="22"/>
        </w:rPr>
        <w:t>Demontage und Montage der Schrottschere erforderlich.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35CC">
        <w:rPr>
          <w:rFonts w:ascii="Arial" w:hAnsi="Arial" w:cs="Arial"/>
          <w:color w:val="000000" w:themeColor="text1"/>
          <w:sz w:val="22"/>
          <w:szCs w:val="22"/>
        </w:rPr>
        <w:t xml:space="preserve">Die Betriebszeiten </w:t>
      </w:r>
      <w:r w:rsidR="002E4F1A">
        <w:rPr>
          <w:rFonts w:ascii="Arial" w:hAnsi="Arial" w:cs="Arial"/>
          <w:color w:val="000000" w:themeColor="text1"/>
          <w:sz w:val="22"/>
          <w:szCs w:val="22"/>
        </w:rPr>
        <w:t xml:space="preserve">und Inputmaterialien </w:t>
      </w:r>
      <w:r w:rsidR="005A35CC">
        <w:rPr>
          <w:rFonts w:ascii="Arial" w:hAnsi="Arial" w:cs="Arial"/>
          <w:color w:val="000000" w:themeColor="text1"/>
          <w:sz w:val="22"/>
          <w:szCs w:val="22"/>
        </w:rPr>
        <w:t xml:space="preserve">der Anlage ändern sich nicht. </w:t>
      </w:r>
      <w:r w:rsidRPr="004E330F">
        <w:rPr>
          <w:rFonts w:ascii="Arial" w:hAnsi="Arial" w:cs="Arial"/>
          <w:color w:val="000000" w:themeColor="text1"/>
          <w:sz w:val="22"/>
          <w:szCs w:val="22"/>
        </w:rPr>
        <w:t xml:space="preserve">Der Standort weist eine überwiegend versiegelte, bzw. befestigte Betriebsfläche auf, es sind </w:t>
      </w:r>
      <w:r w:rsidR="005A35CC">
        <w:rPr>
          <w:rFonts w:ascii="Arial" w:hAnsi="Arial" w:cs="Arial"/>
          <w:color w:val="000000" w:themeColor="text1"/>
          <w:sz w:val="22"/>
          <w:szCs w:val="22"/>
        </w:rPr>
        <w:t xml:space="preserve">hier </w:t>
      </w:r>
      <w:r w:rsidRPr="004E330F">
        <w:rPr>
          <w:rFonts w:ascii="Arial" w:hAnsi="Arial" w:cs="Arial"/>
          <w:color w:val="000000" w:themeColor="text1"/>
          <w:sz w:val="22"/>
          <w:szCs w:val="22"/>
        </w:rPr>
        <w:t>keine schützenswerten Biotope bekannt.</w:t>
      </w:r>
      <w:r w:rsidRPr="004E330F">
        <w:t xml:space="preserve"> </w:t>
      </w:r>
      <w:r w:rsidRPr="004E330F">
        <w:rPr>
          <w:rFonts w:ascii="Arial" w:hAnsi="Arial" w:cs="Arial"/>
          <w:color w:val="000000" w:themeColor="text1"/>
          <w:sz w:val="22"/>
          <w:szCs w:val="22"/>
        </w:rPr>
        <w:t>Die neue Schrottschere für die maschinelle Zerkl</w:t>
      </w:r>
      <w:r w:rsidR="000F41BA">
        <w:rPr>
          <w:rFonts w:ascii="Arial" w:hAnsi="Arial" w:cs="Arial"/>
          <w:color w:val="000000" w:themeColor="text1"/>
          <w:sz w:val="22"/>
          <w:szCs w:val="22"/>
        </w:rPr>
        <w:t xml:space="preserve">einerung der Schrotte arbeitet energieeffizienter und </w:t>
      </w:r>
      <w:r w:rsidRPr="004E330F">
        <w:rPr>
          <w:rFonts w:ascii="Arial" w:hAnsi="Arial" w:cs="Arial"/>
          <w:color w:val="000000" w:themeColor="text1"/>
          <w:sz w:val="22"/>
          <w:szCs w:val="22"/>
        </w:rPr>
        <w:t>leiser als die alte Schrottschere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Pr="004E330F">
        <w:t xml:space="preserve"> </w:t>
      </w:r>
      <w:r w:rsidR="005A35CC" w:rsidRPr="005A35CC">
        <w:rPr>
          <w:rFonts w:ascii="Arial" w:hAnsi="Arial" w:cs="Arial"/>
          <w:color w:val="000000" w:themeColor="text1"/>
          <w:sz w:val="22"/>
          <w:szCs w:val="22"/>
        </w:rPr>
        <w:t xml:space="preserve">Laut Schallimmissionsprognose werden auch nach Umsetzung des beantragten Änderungsgegenstandes am oben genannten maßgeblichen Immissionsort „Mühlweg 11“ sowohl der Immissionsrichtwert nach TA Lärm als auch der zulässige Immissionsanteil (IA) sicher eingehalten. </w:t>
      </w:r>
      <w:r w:rsidR="005A35CC">
        <w:rPr>
          <w:rFonts w:ascii="Arial" w:hAnsi="Arial" w:cs="Arial"/>
          <w:color w:val="000000" w:themeColor="text1"/>
          <w:sz w:val="22"/>
          <w:szCs w:val="22"/>
        </w:rPr>
        <w:t>Die</w:t>
      </w:r>
      <w:r w:rsidRPr="004E330F">
        <w:rPr>
          <w:rFonts w:ascii="Arial" w:hAnsi="Arial" w:cs="Arial"/>
          <w:color w:val="000000" w:themeColor="text1"/>
          <w:sz w:val="22"/>
          <w:szCs w:val="22"/>
        </w:rPr>
        <w:t xml:space="preserve"> in einer Halle </w:t>
      </w:r>
      <w:r w:rsidR="005A35CC">
        <w:rPr>
          <w:rFonts w:ascii="Arial" w:hAnsi="Arial" w:cs="Arial"/>
          <w:color w:val="000000" w:themeColor="text1"/>
          <w:sz w:val="22"/>
          <w:szCs w:val="22"/>
        </w:rPr>
        <w:t>aufgestellte,</w:t>
      </w:r>
      <w:r w:rsidRPr="004E330F">
        <w:rPr>
          <w:rFonts w:ascii="Arial" w:hAnsi="Arial" w:cs="Arial"/>
          <w:color w:val="000000" w:themeColor="text1"/>
          <w:sz w:val="22"/>
          <w:szCs w:val="22"/>
        </w:rPr>
        <w:t xml:space="preserve"> gekapselt ausgeführte Brikettpresse</w:t>
      </w:r>
      <w:r w:rsidR="005A35CC">
        <w:rPr>
          <w:rFonts w:ascii="Arial" w:hAnsi="Arial" w:cs="Arial"/>
          <w:color w:val="000000" w:themeColor="text1"/>
          <w:sz w:val="22"/>
          <w:szCs w:val="22"/>
        </w:rPr>
        <w:t xml:space="preserve"> wird</w:t>
      </w:r>
      <w:r w:rsidRPr="004E330F">
        <w:rPr>
          <w:rFonts w:ascii="Arial" w:hAnsi="Arial" w:cs="Arial"/>
          <w:color w:val="000000" w:themeColor="text1"/>
          <w:sz w:val="22"/>
          <w:szCs w:val="22"/>
        </w:rPr>
        <w:t xml:space="preserve"> keine neuen Abfälle </w:t>
      </w:r>
      <w:r w:rsidR="005A35CC">
        <w:rPr>
          <w:rFonts w:ascii="Arial" w:hAnsi="Arial" w:cs="Arial"/>
          <w:color w:val="000000" w:themeColor="text1"/>
          <w:sz w:val="22"/>
          <w:szCs w:val="22"/>
        </w:rPr>
        <w:t>verarbeiten</w:t>
      </w:r>
      <w:r w:rsidRPr="004E330F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E330F">
        <w:rPr>
          <w:rFonts w:ascii="Arial" w:hAnsi="Arial" w:cs="Arial"/>
          <w:color w:val="000000" w:themeColor="text1"/>
          <w:sz w:val="22"/>
          <w:szCs w:val="22"/>
        </w:rPr>
        <w:t xml:space="preserve">Trotz Durchsatzerhöhung werden </w:t>
      </w:r>
      <w:r w:rsidR="005A35CC">
        <w:rPr>
          <w:rFonts w:ascii="Arial" w:hAnsi="Arial" w:cs="Arial"/>
          <w:color w:val="000000" w:themeColor="text1"/>
          <w:sz w:val="22"/>
          <w:szCs w:val="22"/>
        </w:rPr>
        <w:t xml:space="preserve">sich </w:t>
      </w:r>
      <w:r w:rsidRPr="004E330F">
        <w:rPr>
          <w:rFonts w:ascii="Arial" w:hAnsi="Arial" w:cs="Arial"/>
          <w:color w:val="000000" w:themeColor="text1"/>
          <w:sz w:val="22"/>
          <w:szCs w:val="22"/>
        </w:rPr>
        <w:t>die Dauer und Häufigkeit der Emissionen der Anlagen nicht wesentlich veränder</w:t>
      </w:r>
      <w:r w:rsidR="000F41BA">
        <w:rPr>
          <w:rFonts w:ascii="Arial" w:hAnsi="Arial" w:cs="Arial"/>
          <w:color w:val="000000" w:themeColor="text1"/>
          <w:sz w:val="22"/>
          <w:szCs w:val="22"/>
        </w:rPr>
        <w:t>n</w:t>
      </w:r>
      <w:r w:rsidRPr="004E330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1961B945" w14:textId="77777777" w:rsidR="004E330F" w:rsidRDefault="004E330F" w:rsidP="00C0230C">
      <w:pPr>
        <w:spacing w:line="2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C7DB246" w14:textId="0074BC20" w:rsidR="00C0230C" w:rsidRPr="00B234CF" w:rsidRDefault="00C0230C" w:rsidP="00C0230C">
      <w:pPr>
        <w:spacing w:line="2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234CF">
        <w:rPr>
          <w:rFonts w:ascii="Arial" w:hAnsi="Arial" w:cs="Arial"/>
          <w:color w:val="000000" w:themeColor="text1"/>
          <w:sz w:val="22"/>
          <w:szCs w:val="22"/>
        </w:rPr>
        <w:t xml:space="preserve">Es wird darauf hingewiesen, dass gemäß § 5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Abs. 3 </w:t>
      </w:r>
      <w:r w:rsidRPr="00B234CF">
        <w:rPr>
          <w:rFonts w:ascii="Arial" w:hAnsi="Arial" w:cs="Arial"/>
          <w:color w:val="000000" w:themeColor="text1"/>
          <w:sz w:val="22"/>
          <w:szCs w:val="22"/>
        </w:rPr>
        <w:t xml:space="preserve">UVPG diese Entscheidung nicht selbstständig anfechtbar ist. Die Entscheidungsgründe sind der Öffentlichkeit nach den Bestimmungen des Thüringer Umweltinformationsgesetzes (ThürUIG) im </w:t>
      </w:r>
      <w:r w:rsidRPr="000B2F14">
        <w:rPr>
          <w:rFonts w:ascii="Arial" w:hAnsi="Arial" w:cs="Arial"/>
          <w:color w:val="000000" w:themeColor="text1"/>
          <w:sz w:val="22"/>
          <w:szCs w:val="22"/>
        </w:rPr>
        <w:t>Thüringer Landesamt für Umwelt, Bergbau und Naturschutz,</w:t>
      </w:r>
      <w:r w:rsidR="002356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Außenstelle Weimar, Dienstgebäude 1),</w:t>
      </w:r>
      <w:r w:rsidRPr="000B2F1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367DC">
        <w:rPr>
          <w:rFonts w:ascii="Arial" w:hAnsi="Arial" w:cs="Arial"/>
          <w:color w:val="000000" w:themeColor="text1"/>
          <w:sz w:val="22"/>
          <w:szCs w:val="22"/>
        </w:rPr>
        <w:t xml:space="preserve">Referat </w:t>
      </w:r>
      <w:r w:rsidR="00235630">
        <w:rPr>
          <w:rFonts w:ascii="Arial" w:hAnsi="Arial" w:cs="Arial"/>
          <w:color w:val="000000" w:themeColor="text1"/>
          <w:sz w:val="22"/>
          <w:szCs w:val="22"/>
        </w:rPr>
        <w:t>61,</w:t>
      </w:r>
      <w:r w:rsidRPr="00D367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5630">
        <w:rPr>
          <w:rFonts w:ascii="Arial" w:hAnsi="Arial" w:cs="Arial"/>
          <w:color w:val="000000" w:themeColor="text1"/>
          <w:sz w:val="22"/>
          <w:szCs w:val="22"/>
        </w:rPr>
        <w:t>Immissionsschutz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Pr="00D367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B2F14">
        <w:rPr>
          <w:rFonts w:ascii="Arial" w:hAnsi="Arial" w:cs="Arial"/>
          <w:color w:val="000000" w:themeColor="text1"/>
          <w:sz w:val="22"/>
          <w:szCs w:val="22"/>
        </w:rPr>
        <w:t>Harry-Graf-Kessler-Straße 1,</w:t>
      </w:r>
      <w:r w:rsidRPr="00B234CF">
        <w:rPr>
          <w:rFonts w:ascii="Arial" w:hAnsi="Arial" w:cs="Arial"/>
          <w:color w:val="000000" w:themeColor="text1"/>
          <w:sz w:val="22"/>
          <w:szCs w:val="22"/>
        </w:rPr>
        <w:t xml:space="preserve"> 99423 Weimar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234CF">
        <w:rPr>
          <w:rFonts w:ascii="Arial" w:hAnsi="Arial" w:cs="Arial"/>
          <w:color w:val="000000" w:themeColor="text1"/>
          <w:sz w:val="22"/>
          <w:szCs w:val="22"/>
        </w:rPr>
        <w:t>zugänglich.</w:t>
      </w:r>
    </w:p>
    <w:p w14:paraId="3C7DB247" w14:textId="77777777" w:rsidR="00C0230C" w:rsidRDefault="00C0230C" w:rsidP="00C0230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C7DB248" w14:textId="77777777" w:rsidR="00C0230C" w:rsidRPr="003D1522" w:rsidRDefault="00C0230C" w:rsidP="00C0230C">
      <w:pPr>
        <w:spacing w:line="2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Diese Bekanntgabe</w:t>
      </w:r>
      <w:r w:rsidRPr="003D1522">
        <w:rPr>
          <w:rFonts w:ascii="Arial" w:hAnsi="Arial" w:cs="Arial"/>
          <w:color w:val="000000" w:themeColor="text1"/>
          <w:sz w:val="22"/>
          <w:szCs w:val="22"/>
        </w:rPr>
        <w:t xml:space="preserve"> wird auch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auf der Homepage des TLUBN </w:t>
      </w:r>
      <w:r w:rsidRPr="000B2F14">
        <w:rPr>
          <w:rFonts w:ascii="Arial" w:hAnsi="Arial" w:cs="Arial"/>
          <w:color w:val="000000" w:themeColor="text1"/>
          <w:sz w:val="22"/>
          <w:szCs w:val="22"/>
        </w:rPr>
        <w:t>(</w:t>
      </w:r>
      <w:hyperlink r:id="rId4" w:history="1">
        <w:r>
          <w:rPr>
            <w:rStyle w:val="Hyperlink"/>
            <w:rFonts w:ascii="Arial" w:hAnsi="Arial" w:cs="Arial"/>
            <w:sz w:val="22"/>
            <w:szCs w:val="22"/>
          </w:rPr>
          <w:t>www.tlubn.</w:t>
        </w:r>
        <w:r w:rsidRPr="00F6267D">
          <w:rPr>
            <w:rStyle w:val="Hyperlink"/>
            <w:rFonts w:ascii="Arial" w:hAnsi="Arial" w:cs="Arial"/>
            <w:sz w:val="22"/>
            <w:szCs w:val="22"/>
          </w:rPr>
          <w:t>thueringen.de</w:t>
        </w:r>
      </w:hyperlink>
      <w:r>
        <w:rPr>
          <w:rFonts w:ascii="Arial" w:hAnsi="Arial" w:cs="Arial"/>
          <w:color w:val="000000" w:themeColor="text1"/>
          <w:sz w:val="22"/>
          <w:szCs w:val="22"/>
        </w:rPr>
        <w:t>) unter „Amtliche B</w:t>
      </w:r>
      <w:r w:rsidRPr="000B2F14">
        <w:rPr>
          <w:rFonts w:ascii="Arial" w:hAnsi="Arial" w:cs="Arial"/>
          <w:color w:val="000000" w:themeColor="text1"/>
          <w:sz w:val="22"/>
          <w:szCs w:val="22"/>
        </w:rPr>
        <w:t xml:space="preserve">ekanntmachungen“ </w:t>
      </w:r>
      <w:r>
        <w:rPr>
          <w:rFonts w:ascii="Arial" w:hAnsi="Arial" w:cs="Arial"/>
          <w:color w:val="000000" w:themeColor="text1"/>
          <w:sz w:val="22"/>
          <w:szCs w:val="22"/>
        </w:rPr>
        <w:t>veröffentlicht.</w:t>
      </w:r>
    </w:p>
    <w:p w14:paraId="3C7DB249" w14:textId="77777777" w:rsidR="00C0230C" w:rsidRDefault="00C0230C" w:rsidP="00C0230C">
      <w:pPr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14:paraId="3C7DB24B" w14:textId="77777777" w:rsidR="00C0230C" w:rsidRDefault="00C0230C" w:rsidP="00C0230C">
      <w:pPr>
        <w:tabs>
          <w:tab w:val="center" w:pos="7088"/>
        </w:tabs>
        <w:spacing w:line="2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Jena, den</w:t>
      </w:r>
      <w:r>
        <w:rPr>
          <w:rFonts w:ascii="Arial" w:hAnsi="Arial" w:cs="Arial"/>
          <w:sz w:val="22"/>
          <w:szCs w:val="22"/>
        </w:rPr>
        <w:tab/>
      </w:r>
    </w:p>
    <w:p w14:paraId="3C7DB24D" w14:textId="77777777" w:rsidR="00C0230C" w:rsidRDefault="00C0230C" w:rsidP="00C0230C">
      <w:pPr>
        <w:tabs>
          <w:tab w:val="center" w:pos="7088"/>
        </w:tabs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14:paraId="3C7DB24E" w14:textId="77777777" w:rsidR="00C0230C" w:rsidRPr="00472C01" w:rsidRDefault="00C0230C" w:rsidP="00C0230C">
      <w:pPr>
        <w:tabs>
          <w:tab w:val="center" w:pos="7088"/>
        </w:tabs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0B2F14">
        <w:rPr>
          <w:rFonts w:ascii="Arial" w:hAnsi="Arial" w:cs="Arial"/>
          <w:sz w:val="22"/>
          <w:szCs w:val="22"/>
        </w:rPr>
        <w:t>Thüringer Landesamt für Umwelt,</w:t>
      </w:r>
      <w:r>
        <w:rPr>
          <w:rFonts w:ascii="Arial" w:hAnsi="Arial" w:cs="Arial"/>
          <w:sz w:val="22"/>
          <w:szCs w:val="22"/>
        </w:rPr>
        <w:t xml:space="preserve"> </w:t>
      </w:r>
      <w:r w:rsidRPr="000B2F14">
        <w:rPr>
          <w:rFonts w:ascii="Arial" w:hAnsi="Arial" w:cs="Arial"/>
          <w:sz w:val="22"/>
          <w:szCs w:val="22"/>
        </w:rPr>
        <w:t>Bergbau und Naturschutz</w:t>
      </w:r>
      <w:r w:rsidRPr="000B2F14">
        <w:rPr>
          <w:rFonts w:ascii="Arial" w:hAnsi="Arial" w:cs="Arial"/>
          <w:sz w:val="22"/>
          <w:szCs w:val="22"/>
        </w:rPr>
        <w:cr/>
      </w:r>
      <w:r w:rsidRPr="00472C01">
        <w:rPr>
          <w:rFonts w:ascii="Arial" w:hAnsi="Arial" w:cs="Arial"/>
          <w:sz w:val="22"/>
          <w:szCs w:val="22"/>
        </w:rPr>
        <w:t>Der Präsident</w:t>
      </w:r>
    </w:p>
    <w:p w14:paraId="3C7DB251" w14:textId="77777777" w:rsidR="00C0230C" w:rsidRDefault="00C0230C" w:rsidP="00C0230C">
      <w:pPr>
        <w:tabs>
          <w:tab w:val="center" w:pos="7088"/>
        </w:tabs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14:paraId="3C7DB252" w14:textId="77777777" w:rsidR="00C0230C" w:rsidRDefault="00C0230C" w:rsidP="00C0230C">
      <w:pPr>
        <w:tabs>
          <w:tab w:val="center" w:pos="7088"/>
        </w:tabs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14:paraId="3C7DB253" w14:textId="77777777" w:rsidR="00C0230C" w:rsidRDefault="00C0230C" w:rsidP="00C0230C">
      <w:pPr>
        <w:tabs>
          <w:tab w:val="center" w:pos="7088"/>
        </w:tabs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14:paraId="3C7DB254" w14:textId="77777777" w:rsidR="00C0230C" w:rsidRPr="00FF63EF" w:rsidRDefault="00C0230C" w:rsidP="00C0230C">
      <w:pPr>
        <w:tabs>
          <w:tab w:val="center" w:pos="7088"/>
        </w:tabs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0B2F14">
        <w:rPr>
          <w:rFonts w:ascii="Arial" w:hAnsi="Arial" w:cs="Arial"/>
          <w:sz w:val="22"/>
          <w:szCs w:val="22"/>
        </w:rPr>
        <w:t>Mario Suckert</w:t>
      </w:r>
    </w:p>
    <w:tbl>
      <w:tblPr>
        <w:tblW w:w="6903" w:type="dxa"/>
        <w:tblInd w:w="2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2301"/>
        <w:gridCol w:w="2302"/>
      </w:tblGrid>
      <w:tr w:rsidR="00C0230C" w:rsidRPr="00E63792" w14:paraId="3C7DB259" w14:textId="77777777" w:rsidTr="00082927">
        <w:tc>
          <w:tcPr>
            <w:tcW w:w="2300" w:type="dxa"/>
            <w:shd w:val="clear" w:color="auto" w:fill="auto"/>
          </w:tcPr>
          <w:p w14:paraId="3C7DB255" w14:textId="77777777" w:rsidR="00C0230C" w:rsidRPr="00E63792" w:rsidRDefault="00C0230C" w:rsidP="00082927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E63792">
              <w:rPr>
                <w:rFonts w:ascii="Arial" w:hAnsi="Arial"/>
                <w:b/>
                <w:sz w:val="22"/>
                <w:szCs w:val="20"/>
              </w:rPr>
              <w:lastRenderedPageBreak/>
              <w:t>AL</w:t>
            </w:r>
            <w:r>
              <w:rPr>
                <w:rFonts w:ascii="Arial" w:hAnsi="Arial"/>
                <w:b/>
                <w:sz w:val="22"/>
                <w:szCs w:val="20"/>
              </w:rPr>
              <w:t>in</w:t>
            </w:r>
            <w:r w:rsidRPr="00E63792">
              <w:rPr>
                <w:rFonts w:ascii="Arial" w:hAnsi="Arial"/>
                <w:b/>
                <w:sz w:val="22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0"/>
              </w:rPr>
              <w:t>6</w:t>
            </w:r>
          </w:p>
          <w:p w14:paraId="3C7DB256" w14:textId="77777777" w:rsidR="00C0230C" w:rsidRPr="00E63792" w:rsidRDefault="00C0230C" w:rsidP="00082927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14:paraId="3C7DB257" w14:textId="77777777" w:rsidR="00C0230C" w:rsidRPr="00E63792" w:rsidRDefault="00C0230C" w:rsidP="00082927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E63792">
              <w:rPr>
                <w:rFonts w:ascii="Arial" w:hAnsi="Arial"/>
                <w:b/>
                <w:sz w:val="22"/>
                <w:szCs w:val="20"/>
              </w:rPr>
              <w:t xml:space="preserve">RL </w:t>
            </w:r>
            <w:r>
              <w:rPr>
                <w:rFonts w:ascii="Arial" w:hAnsi="Arial"/>
                <w:b/>
                <w:sz w:val="22"/>
                <w:szCs w:val="20"/>
              </w:rPr>
              <w:t>61</w:t>
            </w:r>
          </w:p>
        </w:tc>
        <w:tc>
          <w:tcPr>
            <w:tcW w:w="2302" w:type="dxa"/>
            <w:shd w:val="clear" w:color="auto" w:fill="auto"/>
          </w:tcPr>
          <w:p w14:paraId="3C7DB258" w14:textId="77777777" w:rsidR="00C0230C" w:rsidRPr="00E63792" w:rsidRDefault="00C0230C" w:rsidP="00082927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SB 61</w:t>
            </w:r>
          </w:p>
        </w:tc>
      </w:tr>
      <w:tr w:rsidR="00C0230C" w:rsidRPr="00E63792" w14:paraId="3C7DB25E" w14:textId="77777777" w:rsidTr="00082927">
        <w:tc>
          <w:tcPr>
            <w:tcW w:w="2300" w:type="dxa"/>
            <w:shd w:val="clear" w:color="auto" w:fill="auto"/>
          </w:tcPr>
          <w:p w14:paraId="3C7DB25A" w14:textId="77777777" w:rsidR="00C0230C" w:rsidRDefault="00C0230C" w:rsidP="00082927">
            <w:pPr>
              <w:rPr>
                <w:rFonts w:ascii="Arial" w:hAnsi="Arial"/>
                <w:sz w:val="22"/>
                <w:szCs w:val="20"/>
              </w:rPr>
            </w:pPr>
          </w:p>
          <w:p w14:paraId="3C7DB25B" w14:textId="77777777" w:rsidR="00C0230C" w:rsidRPr="00E63792" w:rsidRDefault="00C0230C" w:rsidP="00082927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14:paraId="3C7DB25C" w14:textId="77777777" w:rsidR="00C0230C" w:rsidRPr="00E63792" w:rsidRDefault="00C0230C" w:rsidP="00082927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14:paraId="3C7DB25D" w14:textId="77777777" w:rsidR="00C0230C" w:rsidRPr="00E63792" w:rsidRDefault="00C0230C" w:rsidP="00082927">
            <w:pPr>
              <w:rPr>
                <w:rFonts w:ascii="Arial" w:hAnsi="Arial"/>
                <w:sz w:val="22"/>
                <w:szCs w:val="20"/>
              </w:rPr>
            </w:pPr>
          </w:p>
        </w:tc>
      </w:tr>
    </w:tbl>
    <w:p w14:paraId="3C7DB25F" w14:textId="77777777" w:rsidR="00C0230C" w:rsidRPr="00FF63EF" w:rsidRDefault="00C0230C" w:rsidP="00C0230C">
      <w:pPr>
        <w:tabs>
          <w:tab w:val="center" w:pos="7088"/>
        </w:tabs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14:paraId="3C7DB260" w14:textId="77777777" w:rsidR="003135EE" w:rsidRPr="00C0230C" w:rsidRDefault="003135EE" w:rsidP="00C0230C"/>
    <w:sectPr w:rsidR="003135EE" w:rsidRPr="00C023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2A"/>
    <w:rsid w:val="000D5E4B"/>
    <w:rsid w:val="000F41BA"/>
    <w:rsid w:val="0018081A"/>
    <w:rsid w:val="001A7117"/>
    <w:rsid w:val="00235630"/>
    <w:rsid w:val="0028655C"/>
    <w:rsid w:val="002E4F1A"/>
    <w:rsid w:val="003135EE"/>
    <w:rsid w:val="0034247B"/>
    <w:rsid w:val="003C1554"/>
    <w:rsid w:val="00432E2A"/>
    <w:rsid w:val="00443CAB"/>
    <w:rsid w:val="00451409"/>
    <w:rsid w:val="0048332D"/>
    <w:rsid w:val="0049510A"/>
    <w:rsid w:val="004B1E8C"/>
    <w:rsid w:val="004E330F"/>
    <w:rsid w:val="005A35CC"/>
    <w:rsid w:val="006E4DB5"/>
    <w:rsid w:val="007B53D8"/>
    <w:rsid w:val="009049FB"/>
    <w:rsid w:val="00B2523A"/>
    <w:rsid w:val="00BB5A86"/>
    <w:rsid w:val="00BF3E24"/>
    <w:rsid w:val="00C0230C"/>
    <w:rsid w:val="00F62D6D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B234"/>
  <w15:chartTrackingRefBased/>
  <w15:docId w15:val="{F5176B92-8613-4B1F-8D4F-D9644B88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2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32E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lubn-thuering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TLUBN Sander, Winfried</dc:creator>
  <cp:keywords/>
  <dc:description/>
  <cp:lastModifiedBy>TLUBN Helm, Christian</cp:lastModifiedBy>
  <cp:revision>2</cp:revision>
  <dcterms:created xsi:type="dcterms:W3CDTF">2022-06-09T07:08:00Z</dcterms:created>
  <dcterms:modified xsi:type="dcterms:W3CDTF">2022-06-09T07:08:00Z</dcterms:modified>
</cp:coreProperties>
</file>