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89B6" w14:textId="64A38662" w:rsidR="00C83650" w:rsidRPr="007C5BA3" w:rsidRDefault="00C83650" w:rsidP="00C83650">
      <w:pPr>
        <w:pStyle w:val="berschrift1"/>
        <w:spacing w:line="312" w:lineRule="auto"/>
        <w:rPr>
          <w:b w:val="0"/>
          <w:sz w:val="22"/>
        </w:rPr>
      </w:pPr>
      <w:r w:rsidRPr="007C5BA3">
        <w:rPr>
          <w:sz w:val="24"/>
          <w:szCs w:val="24"/>
          <w:u w:val="single"/>
        </w:rPr>
        <w:t>Hausmitteilung</w:t>
      </w:r>
      <w:r w:rsidRPr="009D4171">
        <w:rPr>
          <w:b w:val="0"/>
          <w:color w:val="BFBFBF"/>
          <w:sz w:val="24"/>
          <w:szCs w:val="24"/>
        </w:rPr>
        <w:tab/>
      </w:r>
      <w:r w:rsidR="00680A64">
        <w:rPr>
          <w:b w:val="0"/>
          <w:color w:val="BFBFBF"/>
          <w:sz w:val="24"/>
          <w:szCs w:val="24"/>
        </w:rPr>
        <w:tab/>
      </w:r>
      <w:r w:rsidR="00680A64">
        <w:rPr>
          <w:b w:val="0"/>
          <w:color w:val="BFBFBF"/>
          <w:sz w:val="24"/>
          <w:szCs w:val="24"/>
        </w:rPr>
        <w:tab/>
      </w:r>
      <w:r w:rsidR="00680A64">
        <w:rPr>
          <w:b w:val="0"/>
          <w:color w:val="BFBFBF"/>
          <w:sz w:val="24"/>
          <w:szCs w:val="24"/>
        </w:rPr>
        <w:tab/>
      </w:r>
      <w:r w:rsidR="00680A64">
        <w:rPr>
          <w:b w:val="0"/>
          <w:color w:val="BFBFBF"/>
          <w:sz w:val="24"/>
          <w:szCs w:val="24"/>
        </w:rPr>
        <w:tab/>
      </w:r>
      <w:r w:rsidR="00680A64">
        <w:rPr>
          <w:b w:val="0"/>
          <w:color w:val="BFBFBF"/>
          <w:sz w:val="24"/>
          <w:szCs w:val="24"/>
        </w:rPr>
        <w:tab/>
      </w:r>
      <w:r w:rsidR="009F2F25" w:rsidRPr="007C5BA3">
        <w:rPr>
          <w:b w:val="0"/>
          <w:sz w:val="22"/>
          <w:szCs w:val="22"/>
        </w:rPr>
        <w:t>70.10.</w:t>
      </w:r>
      <w:r w:rsidR="007C5BA3" w:rsidRPr="007C5BA3">
        <w:rPr>
          <w:b w:val="0"/>
          <w:sz w:val="22"/>
          <w:szCs w:val="22"/>
        </w:rPr>
        <w:t>09 -</w:t>
      </w:r>
      <w:r w:rsidRPr="007C5BA3">
        <w:rPr>
          <w:b w:val="0"/>
          <w:sz w:val="22"/>
          <w:szCs w:val="22"/>
        </w:rPr>
        <w:t xml:space="preserve"> </w:t>
      </w:r>
      <w:r w:rsidR="007C5BA3" w:rsidRPr="00E0727D">
        <w:rPr>
          <w:b w:val="0"/>
          <w:sz w:val="22"/>
          <w:szCs w:val="22"/>
        </w:rPr>
        <w:t>Willkomm</w:t>
      </w:r>
      <w:r w:rsidRPr="00E0727D">
        <w:t xml:space="preserve">, </w:t>
      </w:r>
      <w:r w:rsidR="00A70D88">
        <w:rPr>
          <w:b w:val="0"/>
          <w:sz w:val="22"/>
        </w:rPr>
        <w:t>08.02</w:t>
      </w:r>
      <w:r w:rsidR="00E0727D" w:rsidRPr="00E0727D">
        <w:rPr>
          <w:b w:val="0"/>
          <w:sz w:val="22"/>
        </w:rPr>
        <w:t>.2024</w:t>
      </w:r>
    </w:p>
    <w:p w14:paraId="2537F5AB" w14:textId="77777777" w:rsidR="00C83650" w:rsidRPr="00A70D88" w:rsidRDefault="00C83650" w:rsidP="00C83650">
      <w:pPr>
        <w:tabs>
          <w:tab w:val="left" w:pos="3544"/>
        </w:tabs>
        <w:spacing w:line="312" w:lineRule="auto"/>
        <w:rPr>
          <w:sz w:val="24"/>
          <w:szCs w:val="24"/>
        </w:rPr>
      </w:pPr>
    </w:p>
    <w:p w14:paraId="6ED85FD5" w14:textId="77777777" w:rsidR="003E58BD" w:rsidRPr="00A70D88" w:rsidRDefault="00C83650" w:rsidP="00C83650">
      <w:pPr>
        <w:tabs>
          <w:tab w:val="left" w:pos="3544"/>
        </w:tabs>
        <w:spacing w:line="312" w:lineRule="auto"/>
      </w:pPr>
      <w:r w:rsidRPr="00A70D88">
        <w:rPr>
          <w:sz w:val="24"/>
          <w:szCs w:val="24"/>
        </w:rPr>
        <w:t>an:</w:t>
      </w:r>
      <w:r w:rsidRPr="00A70D88">
        <w:rPr>
          <w:b/>
          <w:sz w:val="24"/>
          <w:szCs w:val="24"/>
        </w:rPr>
        <w:t xml:space="preserve"> </w:t>
      </w:r>
      <w:r w:rsidRPr="00A70D88">
        <w:t>70.10.0</w:t>
      </w:r>
      <w:r w:rsidR="003E58BD" w:rsidRPr="00A70D88">
        <w:t xml:space="preserve">5 </w:t>
      </w:r>
      <w:r w:rsidR="007C5BA3" w:rsidRPr="00A70D88">
        <w:t>- Rehahn</w:t>
      </w:r>
      <w:r w:rsidR="003E58BD" w:rsidRPr="00A70D88">
        <w:t xml:space="preserve">, </w:t>
      </w:r>
    </w:p>
    <w:p w14:paraId="4C8CF99A" w14:textId="05DADB7B" w:rsidR="00662ACB" w:rsidRPr="00A70D88" w:rsidRDefault="00A70D88" w:rsidP="00C83650">
      <w:pPr>
        <w:pStyle w:val="berschrift1"/>
        <w:spacing w:line="312" w:lineRule="auto"/>
        <w:rPr>
          <w:rFonts w:cs="Arial"/>
          <w:b w:val="0"/>
          <w:sz w:val="22"/>
          <w:szCs w:val="22"/>
        </w:rPr>
      </w:pPr>
      <w:r w:rsidRPr="00A70D88">
        <w:rPr>
          <w:rFonts w:cs="Arial"/>
          <w:b w:val="0"/>
          <w:sz w:val="22"/>
          <w:szCs w:val="22"/>
        </w:rPr>
        <w:t>naturwind GmbH</w:t>
      </w:r>
    </w:p>
    <w:p w14:paraId="3822A1E0" w14:textId="77777777" w:rsidR="00A70D88" w:rsidRPr="00A70D88" w:rsidRDefault="00A70D88" w:rsidP="00A70D88"/>
    <w:p w14:paraId="57506914" w14:textId="77777777" w:rsidR="00C83650" w:rsidRPr="00A70D88" w:rsidRDefault="00C83650" w:rsidP="00C83650">
      <w:pPr>
        <w:pStyle w:val="berschrift1"/>
        <w:spacing w:line="312" w:lineRule="auto"/>
        <w:rPr>
          <w:sz w:val="22"/>
        </w:rPr>
      </w:pPr>
      <w:r w:rsidRPr="00A70D88">
        <w:rPr>
          <w:sz w:val="22"/>
        </w:rPr>
        <w:t>Immissionsschutzrechtliche Stellungnahme im Genehmigungsverfahren nach dem BImSchG</w:t>
      </w:r>
    </w:p>
    <w:p w14:paraId="42DBFFD4" w14:textId="77777777" w:rsidR="00C83650" w:rsidRPr="00A70D88" w:rsidRDefault="00C83650" w:rsidP="00C83650">
      <w:pPr>
        <w:spacing w:line="312" w:lineRule="auto"/>
        <w:ind w:right="708"/>
        <w:jc w:val="both"/>
      </w:pPr>
      <w:r w:rsidRPr="00A70D88">
        <w:t xml:space="preserve">hier: </w:t>
      </w:r>
      <w:r w:rsidR="004B1ED9" w:rsidRPr="00A70D88">
        <w:t>Nebenbestimmungen</w:t>
      </w:r>
    </w:p>
    <w:p w14:paraId="0CF24082" w14:textId="77777777" w:rsidR="00821BFF" w:rsidRPr="00A70D88" w:rsidRDefault="00821BFF" w:rsidP="00C83650">
      <w:pPr>
        <w:spacing w:line="312" w:lineRule="auto"/>
        <w:ind w:right="708"/>
        <w:jc w:val="both"/>
      </w:pPr>
    </w:p>
    <w:tbl>
      <w:tblPr>
        <w:tblW w:w="7867" w:type="dxa"/>
        <w:tblLayout w:type="fixed"/>
        <w:tblCellMar>
          <w:left w:w="70" w:type="dxa"/>
          <w:right w:w="70" w:type="dxa"/>
        </w:tblCellMar>
        <w:tblLook w:val="0000" w:firstRow="0" w:lastRow="0" w:firstColumn="0" w:lastColumn="0" w:noHBand="0" w:noVBand="0"/>
      </w:tblPr>
      <w:tblGrid>
        <w:gridCol w:w="1771"/>
        <w:gridCol w:w="6096"/>
      </w:tblGrid>
      <w:tr w:rsidR="00A65D56" w:rsidRPr="00A65D56" w14:paraId="589128D4" w14:textId="77777777" w:rsidTr="00266E6F">
        <w:tc>
          <w:tcPr>
            <w:tcW w:w="1771" w:type="dxa"/>
          </w:tcPr>
          <w:p w14:paraId="44A1828F" w14:textId="77777777" w:rsidR="00C90D4A" w:rsidRPr="00A65D56" w:rsidRDefault="00C90D4A" w:rsidP="007F56D8">
            <w:pPr>
              <w:spacing w:line="288" w:lineRule="auto"/>
              <w:jc w:val="both"/>
              <w:rPr>
                <w:b/>
              </w:rPr>
            </w:pPr>
            <w:r w:rsidRPr="00A65D56">
              <w:rPr>
                <w:b/>
              </w:rPr>
              <w:t>Vorhaben</w:t>
            </w:r>
            <w:r w:rsidRPr="00A65D56">
              <w:t>:</w:t>
            </w:r>
          </w:p>
        </w:tc>
        <w:tc>
          <w:tcPr>
            <w:tcW w:w="6096" w:type="dxa"/>
          </w:tcPr>
          <w:p w14:paraId="40ABEB47" w14:textId="77777777" w:rsidR="00A70D88" w:rsidRPr="00A65D56" w:rsidRDefault="00A70D88" w:rsidP="00A70D88">
            <w:pPr>
              <w:spacing w:line="288" w:lineRule="auto"/>
              <w:ind w:left="74"/>
            </w:pPr>
            <w:r w:rsidRPr="00A65D56">
              <w:t>Errichtung und Betrieb von 3 Windenergieanlagen vom Typ</w:t>
            </w:r>
          </w:p>
          <w:p w14:paraId="1E6DC914" w14:textId="77777777" w:rsidR="00A70D88" w:rsidRPr="00A65D56" w:rsidRDefault="00A70D88" w:rsidP="00A70D88">
            <w:pPr>
              <w:spacing w:line="288" w:lineRule="auto"/>
              <w:ind w:left="74"/>
            </w:pPr>
            <w:r w:rsidRPr="00A65D56">
              <w:t>NORDEX N149 5.X STE (5,7 MW, Nabenhöhe 164 m,</w:t>
            </w:r>
          </w:p>
          <w:p w14:paraId="2CEFE73D" w14:textId="77777777" w:rsidR="00A70D88" w:rsidRPr="00A65D56" w:rsidRDefault="00A70D88" w:rsidP="00A70D88">
            <w:pPr>
              <w:spacing w:line="288" w:lineRule="auto"/>
              <w:ind w:left="74"/>
            </w:pPr>
            <w:r w:rsidRPr="00A65D56">
              <w:t xml:space="preserve">Rotordurchmesser 149,1 m, Gesamthöhe 238,6 m) </w:t>
            </w:r>
          </w:p>
          <w:p w14:paraId="576955D7" w14:textId="31B22840" w:rsidR="00A70D88" w:rsidRPr="00A65D56" w:rsidRDefault="00A70D88" w:rsidP="00A70D88">
            <w:pPr>
              <w:spacing w:line="288" w:lineRule="auto"/>
              <w:ind w:left="74"/>
            </w:pPr>
            <w:r w:rsidRPr="00A65D56">
              <w:t>(Anlage gemäß Ziffer 1.6.2 der Spalte a, nach Spalte c</w:t>
            </w:r>
          </w:p>
          <w:p w14:paraId="285CABF5" w14:textId="2794057C" w:rsidR="00266E6F" w:rsidRPr="00A65D56" w:rsidRDefault="00A70D88" w:rsidP="00A70D88">
            <w:pPr>
              <w:spacing w:line="288" w:lineRule="auto"/>
              <w:ind w:left="74"/>
            </w:pPr>
            <w:r w:rsidRPr="00A65D56">
              <w:t>Verfahrensart V des Anhangs 1 der 4. BImSchV in Verbindung mit Nr. 1.6.1 X der Spalte 1 des Anhangs 1 des UVPG)</w:t>
            </w:r>
          </w:p>
          <w:p w14:paraId="40996A55" w14:textId="5B856ABD" w:rsidR="00A70D88" w:rsidRPr="00A65D56" w:rsidRDefault="00A70D88" w:rsidP="00A70D88">
            <w:pPr>
              <w:spacing w:line="288" w:lineRule="auto"/>
              <w:ind w:left="74"/>
            </w:pPr>
          </w:p>
        </w:tc>
      </w:tr>
      <w:tr w:rsidR="00A65D56" w:rsidRPr="00A65D56" w14:paraId="129CE09F" w14:textId="77777777" w:rsidTr="00266E6F">
        <w:tc>
          <w:tcPr>
            <w:tcW w:w="1771" w:type="dxa"/>
          </w:tcPr>
          <w:p w14:paraId="53D820B6" w14:textId="77777777" w:rsidR="00C90D4A" w:rsidRPr="00A65D56" w:rsidRDefault="00C90D4A" w:rsidP="007F56D8">
            <w:pPr>
              <w:spacing w:line="288" w:lineRule="auto"/>
              <w:jc w:val="both"/>
              <w:rPr>
                <w:b/>
              </w:rPr>
            </w:pPr>
            <w:r w:rsidRPr="00A65D56">
              <w:rPr>
                <w:b/>
              </w:rPr>
              <w:t>Standort:</w:t>
            </w:r>
          </w:p>
        </w:tc>
        <w:tc>
          <w:tcPr>
            <w:tcW w:w="6096" w:type="dxa"/>
          </w:tcPr>
          <w:p w14:paraId="3111D2CA" w14:textId="269E66A2" w:rsidR="002959F3" w:rsidRPr="00A65D56" w:rsidRDefault="00A70D88" w:rsidP="00A70D88">
            <w:pPr>
              <w:spacing w:line="288" w:lineRule="auto"/>
              <w:ind w:left="74"/>
              <w:jc w:val="both"/>
            </w:pPr>
            <w:r w:rsidRPr="00A65D56">
              <w:t xml:space="preserve">WP </w:t>
            </w:r>
            <w:proofErr w:type="spellStart"/>
            <w:r w:rsidRPr="00A65D56">
              <w:t>Hakenstedt</w:t>
            </w:r>
            <w:proofErr w:type="spellEnd"/>
          </w:p>
          <w:p w14:paraId="13D06541" w14:textId="77777777" w:rsidR="00106CD6" w:rsidRPr="00A65D56" w:rsidRDefault="00106CD6" w:rsidP="002959F3">
            <w:pPr>
              <w:spacing w:line="288" w:lineRule="auto"/>
              <w:ind w:left="74"/>
              <w:jc w:val="both"/>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8"/>
              <w:gridCol w:w="713"/>
              <w:gridCol w:w="1768"/>
              <w:gridCol w:w="1487"/>
            </w:tblGrid>
            <w:tr w:rsidR="00A65D56" w:rsidRPr="00A65D56" w14:paraId="432560BC" w14:textId="77777777" w:rsidTr="00106CD6">
              <w:trPr>
                <w:jc w:val="center"/>
              </w:trPr>
              <w:tc>
                <w:tcPr>
                  <w:tcW w:w="1978" w:type="dxa"/>
                </w:tcPr>
                <w:p w14:paraId="3CC9283C" w14:textId="77777777" w:rsidR="003D33C4" w:rsidRPr="00A65D56" w:rsidRDefault="003D33C4" w:rsidP="00106CD6">
                  <w:pPr>
                    <w:spacing w:line="288" w:lineRule="auto"/>
                    <w:rPr>
                      <w:b/>
                      <w:sz w:val="20"/>
                    </w:rPr>
                  </w:pPr>
                  <w:r w:rsidRPr="00A65D56">
                    <w:rPr>
                      <w:b/>
                      <w:sz w:val="20"/>
                    </w:rPr>
                    <w:t>Gemarkung</w:t>
                  </w:r>
                </w:p>
              </w:tc>
              <w:tc>
                <w:tcPr>
                  <w:tcW w:w="713" w:type="dxa"/>
                </w:tcPr>
                <w:p w14:paraId="0C19536D" w14:textId="77777777" w:rsidR="003D33C4" w:rsidRPr="00A65D56" w:rsidRDefault="003D33C4" w:rsidP="00106CD6">
                  <w:pPr>
                    <w:spacing w:line="288" w:lineRule="auto"/>
                    <w:rPr>
                      <w:b/>
                      <w:sz w:val="20"/>
                    </w:rPr>
                  </w:pPr>
                  <w:r w:rsidRPr="00A65D56">
                    <w:rPr>
                      <w:b/>
                      <w:sz w:val="20"/>
                    </w:rPr>
                    <w:t>Flur</w:t>
                  </w:r>
                </w:p>
              </w:tc>
              <w:tc>
                <w:tcPr>
                  <w:tcW w:w="1768" w:type="dxa"/>
                </w:tcPr>
                <w:p w14:paraId="42A236F8" w14:textId="77777777" w:rsidR="003D33C4" w:rsidRPr="00A65D56" w:rsidRDefault="003D33C4" w:rsidP="00106CD6">
                  <w:pPr>
                    <w:spacing w:line="288" w:lineRule="auto"/>
                    <w:rPr>
                      <w:b/>
                      <w:sz w:val="20"/>
                    </w:rPr>
                  </w:pPr>
                  <w:r w:rsidRPr="00A65D56">
                    <w:rPr>
                      <w:b/>
                      <w:sz w:val="20"/>
                    </w:rPr>
                    <w:t>Flurstück</w:t>
                  </w:r>
                </w:p>
              </w:tc>
              <w:tc>
                <w:tcPr>
                  <w:tcW w:w="1487" w:type="dxa"/>
                </w:tcPr>
                <w:p w14:paraId="64238EAD" w14:textId="77777777" w:rsidR="003D33C4" w:rsidRPr="00A65D56" w:rsidRDefault="003D33C4" w:rsidP="00106CD6">
                  <w:pPr>
                    <w:spacing w:line="288" w:lineRule="auto"/>
                    <w:rPr>
                      <w:b/>
                      <w:sz w:val="20"/>
                    </w:rPr>
                  </w:pPr>
                </w:p>
              </w:tc>
            </w:tr>
            <w:tr w:rsidR="00A65D56" w:rsidRPr="00A65D56" w14:paraId="6C3BE0A1" w14:textId="77777777" w:rsidTr="00106CD6">
              <w:trPr>
                <w:jc w:val="center"/>
              </w:trPr>
              <w:tc>
                <w:tcPr>
                  <w:tcW w:w="1978" w:type="dxa"/>
                </w:tcPr>
                <w:p w14:paraId="0BFCD6A1" w14:textId="177BC198" w:rsidR="00A70D88" w:rsidRPr="00A65D56" w:rsidRDefault="00A70D88" w:rsidP="00A70D88">
                  <w:pPr>
                    <w:spacing w:line="288" w:lineRule="auto"/>
                    <w:rPr>
                      <w:sz w:val="20"/>
                    </w:rPr>
                  </w:pPr>
                  <w:proofErr w:type="spellStart"/>
                  <w:r w:rsidRPr="00A65D56">
                    <w:t>Ovelgünne</w:t>
                  </w:r>
                  <w:proofErr w:type="spellEnd"/>
                </w:p>
              </w:tc>
              <w:tc>
                <w:tcPr>
                  <w:tcW w:w="713" w:type="dxa"/>
                </w:tcPr>
                <w:p w14:paraId="7DC29927" w14:textId="4AD730C7" w:rsidR="00A70D88" w:rsidRPr="00A65D56" w:rsidRDefault="00A70D88" w:rsidP="00A70D88">
                  <w:pPr>
                    <w:spacing w:line="288" w:lineRule="auto"/>
                    <w:rPr>
                      <w:sz w:val="20"/>
                    </w:rPr>
                  </w:pPr>
                  <w:r w:rsidRPr="00A65D56">
                    <w:rPr>
                      <w:sz w:val="20"/>
                    </w:rPr>
                    <w:t>1</w:t>
                  </w:r>
                </w:p>
              </w:tc>
              <w:tc>
                <w:tcPr>
                  <w:tcW w:w="1768" w:type="dxa"/>
                </w:tcPr>
                <w:p w14:paraId="2D7A75FD" w14:textId="56B84203" w:rsidR="00A70D88" w:rsidRPr="00A65D56" w:rsidRDefault="00A70D88" w:rsidP="00A70D88">
                  <w:pPr>
                    <w:spacing w:line="288" w:lineRule="auto"/>
                    <w:rPr>
                      <w:sz w:val="20"/>
                    </w:rPr>
                  </w:pPr>
                  <w:r w:rsidRPr="00A65D56">
                    <w:t>29/5; 29/6</w:t>
                  </w:r>
                </w:p>
              </w:tc>
              <w:tc>
                <w:tcPr>
                  <w:tcW w:w="1487" w:type="dxa"/>
                </w:tcPr>
                <w:p w14:paraId="4E0D3876" w14:textId="77777777" w:rsidR="00A70D88" w:rsidRPr="00A65D56" w:rsidRDefault="00A70D88" w:rsidP="00A70D88">
                  <w:pPr>
                    <w:spacing w:line="288" w:lineRule="auto"/>
                    <w:rPr>
                      <w:sz w:val="20"/>
                    </w:rPr>
                  </w:pPr>
                  <w:r w:rsidRPr="00A65D56">
                    <w:rPr>
                      <w:sz w:val="20"/>
                    </w:rPr>
                    <w:t>WEA 1</w:t>
                  </w:r>
                </w:p>
              </w:tc>
            </w:tr>
            <w:tr w:rsidR="00A65D56" w:rsidRPr="00A65D56" w14:paraId="74BBF5DD" w14:textId="77777777" w:rsidTr="00106CD6">
              <w:trPr>
                <w:jc w:val="center"/>
              </w:trPr>
              <w:tc>
                <w:tcPr>
                  <w:tcW w:w="1978" w:type="dxa"/>
                </w:tcPr>
                <w:p w14:paraId="5025718E" w14:textId="07867C93" w:rsidR="00A70D88" w:rsidRPr="00A65D56" w:rsidRDefault="00A70D88" w:rsidP="00A70D88">
                  <w:pPr>
                    <w:spacing w:line="288" w:lineRule="auto"/>
                    <w:rPr>
                      <w:sz w:val="20"/>
                    </w:rPr>
                  </w:pPr>
                  <w:proofErr w:type="spellStart"/>
                  <w:r w:rsidRPr="00A65D56">
                    <w:t>Druxberge</w:t>
                  </w:r>
                  <w:proofErr w:type="spellEnd"/>
                </w:p>
              </w:tc>
              <w:tc>
                <w:tcPr>
                  <w:tcW w:w="713" w:type="dxa"/>
                </w:tcPr>
                <w:p w14:paraId="4782322C" w14:textId="48B36520" w:rsidR="00A70D88" w:rsidRPr="00A65D56" w:rsidRDefault="00A70D88" w:rsidP="00A70D88">
                  <w:pPr>
                    <w:spacing w:line="288" w:lineRule="auto"/>
                    <w:rPr>
                      <w:sz w:val="20"/>
                    </w:rPr>
                  </w:pPr>
                  <w:r w:rsidRPr="00A65D56">
                    <w:rPr>
                      <w:sz w:val="20"/>
                    </w:rPr>
                    <w:t>1</w:t>
                  </w:r>
                </w:p>
              </w:tc>
              <w:tc>
                <w:tcPr>
                  <w:tcW w:w="1768" w:type="dxa"/>
                </w:tcPr>
                <w:p w14:paraId="68CB96CD" w14:textId="4665221D" w:rsidR="00A70D88" w:rsidRPr="00A65D56" w:rsidRDefault="00A70D88" w:rsidP="00A70D88">
                  <w:pPr>
                    <w:spacing w:line="288" w:lineRule="auto"/>
                    <w:rPr>
                      <w:sz w:val="20"/>
                    </w:rPr>
                  </w:pPr>
                  <w:r w:rsidRPr="00A65D56">
                    <w:t>53</w:t>
                  </w:r>
                </w:p>
              </w:tc>
              <w:tc>
                <w:tcPr>
                  <w:tcW w:w="1487" w:type="dxa"/>
                </w:tcPr>
                <w:p w14:paraId="656527FD" w14:textId="77777777" w:rsidR="00A70D88" w:rsidRPr="00A65D56" w:rsidRDefault="00A70D88" w:rsidP="00A70D88">
                  <w:pPr>
                    <w:spacing w:line="288" w:lineRule="auto"/>
                    <w:rPr>
                      <w:sz w:val="20"/>
                    </w:rPr>
                  </w:pPr>
                  <w:r w:rsidRPr="00A65D56">
                    <w:rPr>
                      <w:sz w:val="20"/>
                    </w:rPr>
                    <w:t>WEA 2</w:t>
                  </w:r>
                </w:p>
              </w:tc>
            </w:tr>
            <w:tr w:rsidR="00A65D56" w:rsidRPr="00A65D56" w14:paraId="5A6C2125" w14:textId="77777777" w:rsidTr="00106CD6">
              <w:trPr>
                <w:jc w:val="center"/>
              </w:trPr>
              <w:tc>
                <w:tcPr>
                  <w:tcW w:w="1978" w:type="dxa"/>
                </w:tcPr>
                <w:p w14:paraId="69D42122" w14:textId="52AB8400" w:rsidR="00A70D88" w:rsidRPr="00A65D56" w:rsidRDefault="00A70D88" w:rsidP="00A70D88">
                  <w:pPr>
                    <w:spacing w:line="288" w:lineRule="auto"/>
                    <w:rPr>
                      <w:sz w:val="20"/>
                    </w:rPr>
                  </w:pPr>
                  <w:proofErr w:type="spellStart"/>
                  <w:r w:rsidRPr="00A65D56">
                    <w:t>Druxberge</w:t>
                  </w:r>
                  <w:proofErr w:type="spellEnd"/>
                </w:p>
              </w:tc>
              <w:tc>
                <w:tcPr>
                  <w:tcW w:w="713" w:type="dxa"/>
                </w:tcPr>
                <w:p w14:paraId="0A080D51" w14:textId="5D5AA4F1" w:rsidR="00A70D88" w:rsidRPr="00A65D56" w:rsidRDefault="00A70D88" w:rsidP="00A70D88">
                  <w:pPr>
                    <w:spacing w:line="288" w:lineRule="auto"/>
                    <w:rPr>
                      <w:sz w:val="20"/>
                    </w:rPr>
                  </w:pPr>
                  <w:r w:rsidRPr="00A65D56">
                    <w:rPr>
                      <w:sz w:val="20"/>
                    </w:rPr>
                    <w:t>1</w:t>
                  </w:r>
                </w:p>
              </w:tc>
              <w:tc>
                <w:tcPr>
                  <w:tcW w:w="1768" w:type="dxa"/>
                </w:tcPr>
                <w:p w14:paraId="71F3887B" w14:textId="4D2AFAD2" w:rsidR="00A70D88" w:rsidRPr="00A65D56" w:rsidRDefault="00A70D88" w:rsidP="00A70D88">
                  <w:pPr>
                    <w:spacing w:line="288" w:lineRule="auto"/>
                    <w:rPr>
                      <w:sz w:val="20"/>
                    </w:rPr>
                  </w:pPr>
                  <w:r w:rsidRPr="00A65D56">
                    <w:t>185/37; 39/1</w:t>
                  </w:r>
                </w:p>
              </w:tc>
              <w:tc>
                <w:tcPr>
                  <w:tcW w:w="1487" w:type="dxa"/>
                </w:tcPr>
                <w:p w14:paraId="26C7CF65" w14:textId="77777777" w:rsidR="00A70D88" w:rsidRPr="00A65D56" w:rsidRDefault="00A70D88" w:rsidP="00A70D88">
                  <w:pPr>
                    <w:spacing w:line="288" w:lineRule="auto"/>
                    <w:rPr>
                      <w:sz w:val="20"/>
                    </w:rPr>
                  </w:pPr>
                  <w:r w:rsidRPr="00A65D56">
                    <w:rPr>
                      <w:sz w:val="20"/>
                    </w:rPr>
                    <w:t>WEA 3</w:t>
                  </w:r>
                </w:p>
              </w:tc>
            </w:tr>
          </w:tbl>
          <w:p w14:paraId="6515DBC4" w14:textId="77777777" w:rsidR="00C90D4A" w:rsidRPr="00A65D56" w:rsidRDefault="00106CD6" w:rsidP="00206429">
            <w:pPr>
              <w:spacing w:line="288" w:lineRule="auto"/>
              <w:jc w:val="both"/>
            </w:pPr>
            <w:r w:rsidRPr="00A65D56">
              <w:t xml:space="preserve"> </w:t>
            </w:r>
          </w:p>
        </w:tc>
      </w:tr>
      <w:tr w:rsidR="00A65D56" w:rsidRPr="00A65D56" w14:paraId="43F8B422" w14:textId="77777777" w:rsidTr="00266E6F">
        <w:tc>
          <w:tcPr>
            <w:tcW w:w="1771" w:type="dxa"/>
          </w:tcPr>
          <w:p w14:paraId="2761F540" w14:textId="77777777" w:rsidR="00C90D4A" w:rsidRPr="00A65D56" w:rsidRDefault="00C90D4A" w:rsidP="007F56D8">
            <w:pPr>
              <w:spacing w:line="288" w:lineRule="auto"/>
              <w:jc w:val="both"/>
              <w:rPr>
                <w:b/>
              </w:rPr>
            </w:pPr>
            <w:r w:rsidRPr="00A65D56">
              <w:rPr>
                <w:b/>
              </w:rPr>
              <w:t>Antragsteller:</w:t>
            </w:r>
          </w:p>
        </w:tc>
        <w:tc>
          <w:tcPr>
            <w:tcW w:w="6096" w:type="dxa"/>
          </w:tcPr>
          <w:p w14:paraId="4049878D" w14:textId="77777777" w:rsidR="00A70D88" w:rsidRPr="00A65D56" w:rsidRDefault="00A70D88" w:rsidP="00A70D88">
            <w:pPr>
              <w:spacing w:line="312" w:lineRule="auto"/>
              <w:ind w:right="708"/>
              <w:jc w:val="both"/>
            </w:pPr>
            <w:r w:rsidRPr="00A65D56">
              <w:t xml:space="preserve">naturwind GmbH </w:t>
            </w:r>
          </w:p>
          <w:p w14:paraId="5FE20BFB" w14:textId="77777777" w:rsidR="00A70D88" w:rsidRPr="00A65D56" w:rsidRDefault="00A70D88" w:rsidP="00A70D88">
            <w:pPr>
              <w:spacing w:line="312" w:lineRule="auto"/>
              <w:ind w:right="708"/>
              <w:jc w:val="both"/>
            </w:pPr>
            <w:r w:rsidRPr="00A65D56">
              <w:t>Schelfstr. 35</w:t>
            </w:r>
          </w:p>
          <w:p w14:paraId="7DF27B44" w14:textId="77777777" w:rsidR="00A70D88" w:rsidRPr="00A65D56" w:rsidRDefault="00A70D88" w:rsidP="00A70D88">
            <w:pPr>
              <w:spacing w:line="312" w:lineRule="auto"/>
              <w:ind w:right="708"/>
              <w:jc w:val="both"/>
            </w:pPr>
            <w:r w:rsidRPr="00A65D56">
              <w:t>19055 Schwerin</w:t>
            </w:r>
          </w:p>
          <w:p w14:paraId="40E8F480" w14:textId="77777777" w:rsidR="00266E6F" w:rsidRPr="00A65D56" w:rsidRDefault="00266E6F" w:rsidP="002959F3">
            <w:pPr>
              <w:spacing w:line="288" w:lineRule="auto"/>
              <w:ind w:left="74"/>
              <w:jc w:val="both"/>
            </w:pPr>
          </w:p>
        </w:tc>
      </w:tr>
      <w:tr w:rsidR="00266E6F" w:rsidRPr="00A65D56" w14:paraId="38C39CCE" w14:textId="77777777" w:rsidTr="00266E6F">
        <w:tc>
          <w:tcPr>
            <w:tcW w:w="1771" w:type="dxa"/>
          </w:tcPr>
          <w:p w14:paraId="372349D4" w14:textId="77777777" w:rsidR="003F798C" w:rsidRPr="00A65D56" w:rsidRDefault="003F798C" w:rsidP="007F56D8">
            <w:pPr>
              <w:spacing w:line="288" w:lineRule="auto"/>
              <w:jc w:val="both"/>
              <w:rPr>
                <w:b/>
              </w:rPr>
            </w:pPr>
            <w:r w:rsidRPr="00A65D56">
              <w:rPr>
                <w:b/>
              </w:rPr>
              <w:t>vorgelegte Unterlagen</w:t>
            </w:r>
          </w:p>
        </w:tc>
        <w:tc>
          <w:tcPr>
            <w:tcW w:w="6096" w:type="dxa"/>
          </w:tcPr>
          <w:p w14:paraId="5FD41CCF" w14:textId="30FF0395" w:rsidR="003F798C" w:rsidRPr="00A65D56" w:rsidRDefault="003F798C" w:rsidP="003F798C">
            <w:pPr>
              <w:numPr>
                <w:ilvl w:val="0"/>
                <w:numId w:val="22"/>
              </w:numPr>
              <w:spacing w:line="288" w:lineRule="auto"/>
              <w:jc w:val="both"/>
            </w:pPr>
            <w:r w:rsidRPr="00A65D56">
              <w:t xml:space="preserve">§ </w:t>
            </w:r>
            <w:r w:rsidR="00A65D56" w:rsidRPr="00A65D56">
              <w:t>4</w:t>
            </w:r>
            <w:r w:rsidRPr="00A65D56">
              <w:t xml:space="preserve"> Antrag vom </w:t>
            </w:r>
            <w:r w:rsidR="00A65D56" w:rsidRPr="00A65D56">
              <w:t>22.03.2023</w:t>
            </w:r>
            <w:r w:rsidR="00835F94" w:rsidRPr="00A65D56">
              <w:t xml:space="preserve"> (PE </w:t>
            </w:r>
            <w:r w:rsidR="00A65D56" w:rsidRPr="00A65D56">
              <w:t>27.09.2023</w:t>
            </w:r>
            <w:r w:rsidR="00835F94" w:rsidRPr="00A65D56">
              <w:t>)</w:t>
            </w:r>
          </w:p>
          <w:p w14:paraId="67622663" w14:textId="58532B07" w:rsidR="002C50C0" w:rsidRPr="00A65D56" w:rsidRDefault="002C50C0" w:rsidP="003F798C">
            <w:pPr>
              <w:numPr>
                <w:ilvl w:val="0"/>
                <w:numId w:val="22"/>
              </w:numPr>
              <w:spacing w:line="288" w:lineRule="auto"/>
              <w:jc w:val="both"/>
            </w:pPr>
            <w:r w:rsidRPr="00A65D56">
              <w:t xml:space="preserve">Revision Schattengutachten vom </w:t>
            </w:r>
            <w:r w:rsidR="00A65D56" w:rsidRPr="00A65D56">
              <w:t>19.12.2023</w:t>
            </w:r>
            <w:r w:rsidR="001561AE" w:rsidRPr="00A65D56">
              <w:t xml:space="preserve"> (Bericht Nr.: </w:t>
            </w:r>
            <w:r w:rsidR="00A65D56" w:rsidRPr="00A65D56">
              <w:t>PK 2013052-STG-A</w:t>
            </w:r>
            <w:r w:rsidR="001561AE" w:rsidRPr="00A65D56">
              <w:t>)</w:t>
            </w:r>
          </w:p>
          <w:p w14:paraId="3B67811A" w14:textId="1A20D1FA" w:rsidR="001222D5" w:rsidRPr="00A65D56" w:rsidRDefault="002C50C0" w:rsidP="002C50C0">
            <w:pPr>
              <w:numPr>
                <w:ilvl w:val="0"/>
                <w:numId w:val="22"/>
              </w:numPr>
              <w:spacing w:line="288" w:lineRule="auto"/>
              <w:jc w:val="both"/>
            </w:pPr>
            <w:r w:rsidRPr="00A65D56">
              <w:t xml:space="preserve">Revision Schallgutachten vom </w:t>
            </w:r>
            <w:r w:rsidR="00A65D56" w:rsidRPr="00A65D56">
              <w:t>19.12.2023</w:t>
            </w:r>
            <w:r w:rsidR="001561AE" w:rsidRPr="00A65D56">
              <w:t xml:space="preserve"> (Bericht Nr.: </w:t>
            </w:r>
            <w:r w:rsidR="00A65D56" w:rsidRPr="00A65D56">
              <w:t>PK 2013052-SLG-B</w:t>
            </w:r>
            <w:r w:rsidR="001561AE" w:rsidRPr="00A65D56">
              <w:t>)</w:t>
            </w:r>
          </w:p>
          <w:p w14:paraId="0CD093D2" w14:textId="77777777" w:rsidR="004E3A5F" w:rsidRPr="00A65D56" w:rsidRDefault="004E3A5F" w:rsidP="00266E6F">
            <w:pPr>
              <w:spacing w:line="288" w:lineRule="auto"/>
              <w:ind w:left="432"/>
              <w:jc w:val="both"/>
            </w:pPr>
          </w:p>
        </w:tc>
      </w:tr>
    </w:tbl>
    <w:p w14:paraId="4363698C" w14:textId="77777777" w:rsidR="00FB424E" w:rsidRPr="00A65D56" w:rsidRDefault="00FB424E" w:rsidP="00FB424E">
      <w:pPr>
        <w:spacing w:line="336" w:lineRule="auto"/>
        <w:jc w:val="both"/>
      </w:pPr>
    </w:p>
    <w:p w14:paraId="57D4EA1D" w14:textId="77777777" w:rsidR="001222D5" w:rsidRPr="00A65D56" w:rsidRDefault="001222D5" w:rsidP="00511613">
      <w:pPr>
        <w:spacing w:line="312" w:lineRule="auto"/>
        <w:jc w:val="both"/>
        <w:rPr>
          <w:u w:val="single"/>
        </w:rPr>
      </w:pPr>
      <w:r w:rsidRPr="00A65D56">
        <w:rPr>
          <w:b/>
          <w:u w:val="single"/>
        </w:rPr>
        <w:br w:type="page"/>
      </w:r>
      <w:r w:rsidR="00511613" w:rsidRPr="00A65D56">
        <w:rPr>
          <w:b/>
          <w:u w:val="single"/>
        </w:rPr>
        <w:lastRenderedPageBreak/>
        <w:t xml:space="preserve">I. </w:t>
      </w:r>
      <w:r w:rsidRPr="00A65D56">
        <w:rPr>
          <w:b/>
          <w:u w:val="single"/>
        </w:rPr>
        <w:t>Immissionsschutzrechtliche Nebenbestimmungen</w:t>
      </w:r>
    </w:p>
    <w:p w14:paraId="1E26349A" w14:textId="77777777" w:rsidR="00FB424E" w:rsidRPr="00A65D56" w:rsidRDefault="00FB424E" w:rsidP="00511613">
      <w:pPr>
        <w:spacing w:line="312" w:lineRule="auto"/>
        <w:jc w:val="both"/>
      </w:pPr>
    </w:p>
    <w:p w14:paraId="3ABCB829" w14:textId="77777777" w:rsidR="000C7E9B" w:rsidRPr="00A65D56" w:rsidRDefault="000C7E9B" w:rsidP="00511613">
      <w:pPr>
        <w:spacing w:line="312" w:lineRule="auto"/>
        <w:jc w:val="both"/>
      </w:pPr>
    </w:p>
    <w:p w14:paraId="74F1C9EB" w14:textId="77777777" w:rsidR="002B6E73" w:rsidRPr="00A65D56" w:rsidRDefault="002B6E73" w:rsidP="00511613">
      <w:pPr>
        <w:spacing w:line="312" w:lineRule="auto"/>
        <w:jc w:val="both"/>
        <w:rPr>
          <w:b/>
          <w:u w:val="single"/>
        </w:rPr>
      </w:pPr>
      <w:r w:rsidRPr="00A65D56">
        <w:rPr>
          <w:b/>
          <w:u w:val="single"/>
        </w:rPr>
        <w:t>Bauliche Abmessungen</w:t>
      </w:r>
    </w:p>
    <w:p w14:paraId="7ADC3215" w14:textId="77777777" w:rsidR="002B6E73" w:rsidRPr="00897A2C" w:rsidRDefault="002B6E73" w:rsidP="00511613">
      <w:pPr>
        <w:spacing w:line="312" w:lineRule="auto"/>
        <w:jc w:val="both"/>
      </w:pPr>
    </w:p>
    <w:p w14:paraId="6C7A3741" w14:textId="0DF05486" w:rsidR="00BB2CB3" w:rsidRPr="00897A2C" w:rsidRDefault="00BB2CB3" w:rsidP="00511613">
      <w:pPr>
        <w:spacing w:line="312" w:lineRule="auto"/>
        <w:jc w:val="both"/>
      </w:pPr>
      <w:r w:rsidRPr="00897A2C">
        <w:t xml:space="preserve">Diese Genehmigung erstreckt sich auf die Errichtung und den Betrieb von </w:t>
      </w:r>
      <w:r w:rsidR="00FB7C0E" w:rsidRPr="00897A2C">
        <w:t>sieben Windenergie</w:t>
      </w:r>
      <w:r w:rsidRPr="00897A2C">
        <w:t>anlagen vom Typ</w:t>
      </w:r>
      <w:r w:rsidR="005E52DD" w:rsidRPr="00897A2C">
        <w:t xml:space="preserve"> </w:t>
      </w:r>
      <w:r w:rsidR="00A65D56" w:rsidRPr="00897A2C">
        <w:t>NORDEX N149 5.X STE</w:t>
      </w:r>
      <w:r w:rsidRPr="00897A2C">
        <w:t xml:space="preserve"> mit den folgenden Anlagedaten:</w:t>
      </w:r>
    </w:p>
    <w:p w14:paraId="27A69A8C" w14:textId="77777777" w:rsidR="00BB2CB3" w:rsidRPr="00897A2C" w:rsidRDefault="00BB2CB3" w:rsidP="00511613">
      <w:pPr>
        <w:spacing w:line="312"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165"/>
        <w:gridCol w:w="1064"/>
        <w:gridCol w:w="1193"/>
        <w:gridCol w:w="1648"/>
        <w:gridCol w:w="1609"/>
      </w:tblGrid>
      <w:tr w:rsidR="00897A2C" w:rsidRPr="00897A2C" w14:paraId="76BBD972" w14:textId="77777777" w:rsidTr="00897A2C">
        <w:trPr>
          <w:trHeight w:val="288"/>
        </w:trPr>
        <w:tc>
          <w:tcPr>
            <w:tcW w:w="1383" w:type="dxa"/>
            <w:vMerge w:val="restart"/>
            <w:shd w:val="clear" w:color="auto" w:fill="B4C6E7"/>
            <w:vAlign w:val="center"/>
          </w:tcPr>
          <w:p w14:paraId="3D83AFEC" w14:textId="77777777" w:rsidR="00BB2CB3" w:rsidRPr="00897A2C" w:rsidRDefault="00BB2CB3" w:rsidP="00511613">
            <w:pPr>
              <w:spacing w:line="312" w:lineRule="auto"/>
              <w:jc w:val="center"/>
              <w:rPr>
                <w:b/>
                <w:bCs/>
                <w:sz w:val="16"/>
                <w:szCs w:val="16"/>
              </w:rPr>
            </w:pPr>
            <w:r w:rsidRPr="00897A2C">
              <w:rPr>
                <w:b/>
                <w:bCs/>
                <w:sz w:val="16"/>
                <w:szCs w:val="16"/>
              </w:rPr>
              <w:t>Betriebseinheit</w:t>
            </w:r>
          </w:p>
        </w:tc>
        <w:tc>
          <w:tcPr>
            <w:tcW w:w="2165" w:type="dxa"/>
            <w:vMerge w:val="restart"/>
            <w:shd w:val="clear" w:color="auto" w:fill="B4C6E7"/>
            <w:vAlign w:val="center"/>
          </w:tcPr>
          <w:p w14:paraId="0000BA05" w14:textId="77777777" w:rsidR="00BB2CB3" w:rsidRPr="00897A2C" w:rsidRDefault="00BB2CB3" w:rsidP="00511613">
            <w:pPr>
              <w:spacing w:line="312" w:lineRule="auto"/>
              <w:jc w:val="center"/>
              <w:rPr>
                <w:b/>
                <w:bCs/>
                <w:sz w:val="16"/>
                <w:szCs w:val="16"/>
              </w:rPr>
            </w:pPr>
            <w:r w:rsidRPr="00897A2C">
              <w:rPr>
                <w:b/>
                <w:bCs/>
                <w:sz w:val="16"/>
                <w:szCs w:val="16"/>
              </w:rPr>
              <w:t>Anlagentyp</w:t>
            </w:r>
          </w:p>
        </w:tc>
        <w:tc>
          <w:tcPr>
            <w:tcW w:w="1064" w:type="dxa"/>
            <w:vMerge w:val="restart"/>
            <w:shd w:val="clear" w:color="auto" w:fill="B4C6E7"/>
            <w:vAlign w:val="center"/>
          </w:tcPr>
          <w:p w14:paraId="36ECF7A8" w14:textId="77777777" w:rsidR="00BB2CB3" w:rsidRPr="00897A2C" w:rsidRDefault="00BB2CB3" w:rsidP="00511613">
            <w:pPr>
              <w:spacing w:line="312" w:lineRule="auto"/>
              <w:jc w:val="center"/>
              <w:rPr>
                <w:b/>
                <w:bCs/>
                <w:sz w:val="16"/>
                <w:szCs w:val="16"/>
              </w:rPr>
            </w:pPr>
            <w:r w:rsidRPr="00897A2C">
              <w:rPr>
                <w:b/>
                <w:bCs/>
                <w:sz w:val="16"/>
                <w:szCs w:val="16"/>
              </w:rPr>
              <w:t>Leistung (</w:t>
            </w:r>
            <w:proofErr w:type="spellStart"/>
            <w:r w:rsidRPr="00897A2C">
              <w:rPr>
                <w:b/>
                <w:bCs/>
                <w:sz w:val="16"/>
                <w:szCs w:val="16"/>
              </w:rPr>
              <w:t>P</w:t>
            </w:r>
            <w:r w:rsidRPr="00897A2C">
              <w:rPr>
                <w:b/>
                <w:bCs/>
                <w:sz w:val="16"/>
                <w:szCs w:val="16"/>
                <w:vertAlign w:val="subscript"/>
              </w:rPr>
              <w:t>el</w:t>
            </w:r>
            <w:proofErr w:type="spellEnd"/>
            <w:r w:rsidRPr="00897A2C">
              <w:rPr>
                <w:b/>
                <w:bCs/>
                <w:sz w:val="16"/>
                <w:szCs w:val="16"/>
              </w:rPr>
              <w:t>)</w:t>
            </w:r>
          </w:p>
        </w:tc>
        <w:tc>
          <w:tcPr>
            <w:tcW w:w="4450" w:type="dxa"/>
            <w:gridSpan w:val="3"/>
            <w:shd w:val="clear" w:color="auto" w:fill="B4C6E7"/>
            <w:vAlign w:val="center"/>
          </w:tcPr>
          <w:p w14:paraId="3BE5B775" w14:textId="77777777" w:rsidR="00BB2CB3" w:rsidRPr="00897A2C" w:rsidRDefault="00BB2CB3" w:rsidP="00511613">
            <w:pPr>
              <w:spacing w:line="312" w:lineRule="auto"/>
              <w:jc w:val="center"/>
              <w:rPr>
                <w:b/>
                <w:bCs/>
                <w:sz w:val="16"/>
                <w:szCs w:val="16"/>
              </w:rPr>
            </w:pPr>
            <w:r w:rsidRPr="00897A2C">
              <w:rPr>
                <w:b/>
                <w:bCs/>
                <w:sz w:val="16"/>
                <w:szCs w:val="16"/>
              </w:rPr>
              <w:t>Bauliche Abmessungen</w:t>
            </w:r>
          </w:p>
        </w:tc>
      </w:tr>
      <w:tr w:rsidR="00897A2C" w:rsidRPr="00897A2C" w14:paraId="2644E370" w14:textId="77777777" w:rsidTr="00897A2C">
        <w:trPr>
          <w:trHeight w:val="420"/>
        </w:trPr>
        <w:tc>
          <w:tcPr>
            <w:tcW w:w="1383" w:type="dxa"/>
            <w:vMerge/>
            <w:shd w:val="clear" w:color="auto" w:fill="B4C6E7"/>
            <w:vAlign w:val="center"/>
          </w:tcPr>
          <w:p w14:paraId="1F91D15E" w14:textId="77777777" w:rsidR="00BB2CB3" w:rsidRPr="00897A2C" w:rsidRDefault="00BB2CB3" w:rsidP="00511613">
            <w:pPr>
              <w:spacing w:line="312" w:lineRule="auto"/>
              <w:jc w:val="center"/>
              <w:rPr>
                <w:b/>
                <w:bCs/>
                <w:sz w:val="16"/>
                <w:szCs w:val="16"/>
              </w:rPr>
            </w:pPr>
          </w:p>
        </w:tc>
        <w:tc>
          <w:tcPr>
            <w:tcW w:w="2165" w:type="dxa"/>
            <w:vMerge/>
            <w:shd w:val="clear" w:color="auto" w:fill="B4C6E7"/>
            <w:vAlign w:val="center"/>
          </w:tcPr>
          <w:p w14:paraId="3819CCCE" w14:textId="77777777" w:rsidR="00BB2CB3" w:rsidRPr="00897A2C" w:rsidRDefault="00BB2CB3" w:rsidP="00511613">
            <w:pPr>
              <w:spacing w:line="312" w:lineRule="auto"/>
              <w:jc w:val="center"/>
              <w:rPr>
                <w:b/>
                <w:bCs/>
                <w:sz w:val="16"/>
                <w:szCs w:val="16"/>
              </w:rPr>
            </w:pPr>
          </w:p>
        </w:tc>
        <w:tc>
          <w:tcPr>
            <w:tcW w:w="1064" w:type="dxa"/>
            <w:vMerge/>
            <w:shd w:val="clear" w:color="auto" w:fill="B4C6E7"/>
            <w:vAlign w:val="center"/>
          </w:tcPr>
          <w:p w14:paraId="50D2C384" w14:textId="77777777" w:rsidR="00BB2CB3" w:rsidRPr="00897A2C" w:rsidRDefault="00BB2CB3" w:rsidP="00511613">
            <w:pPr>
              <w:spacing w:line="312" w:lineRule="auto"/>
              <w:jc w:val="center"/>
              <w:rPr>
                <w:b/>
                <w:bCs/>
                <w:sz w:val="16"/>
                <w:szCs w:val="16"/>
              </w:rPr>
            </w:pPr>
          </w:p>
        </w:tc>
        <w:tc>
          <w:tcPr>
            <w:tcW w:w="1193" w:type="dxa"/>
            <w:shd w:val="clear" w:color="auto" w:fill="B4C6E7"/>
            <w:vAlign w:val="center"/>
          </w:tcPr>
          <w:p w14:paraId="40A38023" w14:textId="77777777" w:rsidR="00BB2CB3" w:rsidRPr="00897A2C" w:rsidRDefault="00BB2CB3" w:rsidP="00511613">
            <w:pPr>
              <w:spacing w:line="312" w:lineRule="auto"/>
              <w:jc w:val="center"/>
              <w:rPr>
                <w:b/>
                <w:bCs/>
                <w:sz w:val="16"/>
                <w:szCs w:val="16"/>
              </w:rPr>
            </w:pPr>
            <w:r w:rsidRPr="00897A2C">
              <w:rPr>
                <w:b/>
                <w:bCs/>
                <w:sz w:val="16"/>
                <w:szCs w:val="16"/>
              </w:rPr>
              <w:t>Nabenhöhe (NH)</w:t>
            </w:r>
          </w:p>
        </w:tc>
        <w:tc>
          <w:tcPr>
            <w:tcW w:w="1648" w:type="dxa"/>
            <w:shd w:val="clear" w:color="auto" w:fill="B4C6E7"/>
            <w:vAlign w:val="center"/>
          </w:tcPr>
          <w:p w14:paraId="5B7788BE" w14:textId="77777777" w:rsidR="00BB2CB3" w:rsidRPr="00897A2C" w:rsidRDefault="00BB2CB3" w:rsidP="00511613">
            <w:pPr>
              <w:spacing w:line="312" w:lineRule="auto"/>
              <w:jc w:val="center"/>
              <w:rPr>
                <w:b/>
                <w:bCs/>
                <w:sz w:val="16"/>
                <w:szCs w:val="16"/>
              </w:rPr>
            </w:pPr>
            <w:r w:rsidRPr="00897A2C">
              <w:rPr>
                <w:b/>
                <w:bCs/>
                <w:sz w:val="16"/>
                <w:szCs w:val="16"/>
              </w:rPr>
              <w:t>Rotordurchmesser (RD)</w:t>
            </w:r>
          </w:p>
        </w:tc>
        <w:tc>
          <w:tcPr>
            <w:tcW w:w="1609" w:type="dxa"/>
            <w:shd w:val="clear" w:color="auto" w:fill="B4C6E7"/>
            <w:vAlign w:val="center"/>
          </w:tcPr>
          <w:p w14:paraId="13C5CC8C" w14:textId="77777777" w:rsidR="00BB2CB3" w:rsidRPr="00897A2C" w:rsidRDefault="00BB2CB3" w:rsidP="00511613">
            <w:pPr>
              <w:spacing w:line="312" w:lineRule="auto"/>
              <w:jc w:val="center"/>
              <w:rPr>
                <w:b/>
                <w:bCs/>
                <w:sz w:val="16"/>
                <w:szCs w:val="16"/>
              </w:rPr>
            </w:pPr>
            <w:r w:rsidRPr="00897A2C">
              <w:rPr>
                <w:b/>
                <w:bCs/>
                <w:sz w:val="16"/>
                <w:szCs w:val="16"/>
              </w:rPr>
              <w:t>Gesamthöhe (GH) (NH + 0,5 x RD)</w:t>
            </w:r>
          </w:p>
        </w:tc>
      </w:tr>
      <w:tr w:rsidR="00897A2C" w:rsidRPr="00897A2C" w14:paraId="3F156D7B" w14:textId="77777777" w:rsidTr="00897A2C">
        <w:tc>
          <w:tcPr>
            <w:tcW w:w="1383" w:type="dxa"/>
            <w:shd w:val="clear" w:color="auto" w:fill="auto"/>
            <w:vAlign w:val="center"/>
          </w:tcPr>
          <w:p w14:paraId="3BD60B97" w14:textId="77777777" w:rsidR="00BB2CB3" w:rsidRPr="00897A2C" w:rsidRDefault="00BB2CB3" w:rsidP="00FB7C0E">
            <w:pPr>
              <w:spacing w:line="312" w:lineRule="auto"/>
              <w:jc w:val="center"/>
              <w:rPr>
                <w:sz w:val="16"/>
                <w:szCs w:val="16"/>
              </w:rPr>
            </w:pPr>
            <w:r w:rsidRPr="00897A2C">
              <w:rPr>
                <w:sz w:val="16"/>
                <w:szCs w:val="16"/>
              </w:rPr>
              <w:t xml:space="preserve">WEA </w:t>
            </w:r>
            <w:r w:rsidR="00FB7C0E" w:rsidRPr="00897A2C">
              <w:rPr>
                <w:sz w:val="16"/>
                <w:szCs w:val="16"/>
              </w:rPr>
              <w:t>1</w:t>
            </w:r>
          </w:p>
        </w:tc>
        <w:tc>
          <w:tcPr>
            <w:tcW w:w="2165" w:type="dxa"/>
            <w:shd w:val="clear" w:color="auto" w:fill="auto"/>
            <w:vAlign w:val="center"/>
          </w:tcPr>
          <w:p w14:paraId="1D8779C6" w14:textId="778958C7" w:rsidR="00BB2CB3" w:rsidRPr="00897A2C" w:rsidRDefault="00897A2C" w:rsidP="00511613">
            <w:pPr>
              <w:spacing w:line="312" w:lineRule="auto"/>
              <w:jc w:val="center"/>
              <w:rPr>
                <w:sz w:val="16"/>
                <w:szCs w:val="16"/>
              </w:rPr>
            </w:pPr>
            <w:r w:rsidRPr="00897A2C">
              <w:rPr>
                <w:sz w:val="16"/>
                <w:szCs w:val="16"/>
              </w:rPr>
              <w:t>NORDEX N149 5.X STE</w:t>
            </w:r>
          </w:p>
        </w:tc>
        <w:tc>
          <w:tcPr>
            <w:tcW w:w="1064" w:type="dxa"/>
            <w:shd w:val="clear" w:color="auto" w:fill="auto"/>
            <w:vAlign w:val="center"/>
          </w:tcPr>
          <w:p w14:paraId="71575334" w14:textId="2885A95A" w:rsidR="00BB2CB3" w:rsidRPr="00897A2C" w:rsidRDefault="00FB7C0E" w:rsidP="00897A2C">
            <w:pPr>
              <w:spacing w:line="312" w:lineRule="auto"/>
              <w:jc w:val="center"/>
              <w:rPr>
                <w:sz w:val="16"/>
                <w:szCs w:val="16"/>
              </w:rPr>
            </w:pPr>
            <w:r w:rsidRPr="00897A2C">
              <w:rPr>
                <w:sz w:val="16"/>
                <w:szCs w:val="16"/>
              </w:rPr>
              <w:t>5.</w:t>
            </w:r>
            <w:r w:rsidR="00897A2C" w:rsidRPr="00897A2C">
              <w:rPr>
                <w:sz w:val="16"/>
                <w:szCs w:val="16"/>
              </w:rPr>
              <w:t>7</w:t>
            </w:r>
            <w:r w:rsidR="005E52DD" w:rsidRPr="00897A2C">
              <w:rPr>
                <w:sz w:val="16"/>
                <w:szCs w:val="16"/>
              </w:rPr>
              <w:t xml:space="preserve">00 </w:t>
            </w:r>
            <w:r w:rsidR="00BB2CB3" w:rsidRPr="00897A2C">
              <w:rPr>
                <w:sz w:val="16"/>
                <w:szCs w:val="16"/>
              </w:rPr>
              <w:t>KW</w:t>
            </w:r>
          </w:p>
        </w:tc>
        <w:tc>
          <w:tcPr>
            <w:tcW w:w="1193" w:type="dxa"/>
            <w:shd w:val="clear" w:color="auto" w:fill="auto"/>
            <w:vAlign w:val="center"/>
          </w:tcPr>
          <w:p w14:paraId="3E1FED86" w14:textId="606E77D5" w:rsidR="00BB2CB3" w:rsidRPr="00897A2C" w:rsidRDefault="00897A2C" w:rsidP="00FB7C0E">
            <w:pPr>
              <w:spacing w:line="312" w:lineRule="auto"/>
              <w:jc w:val="center"/>
              <w:rPr>
                <w:sz w:val="16"/>
                <w:szCs w:val="16"/>
              </w:rPr>
            </w:pPr>
            <w:r w:rsidRPr="00897A2C">
              <w:rPr>
                <w:sz w:val="16"/>
                <w:szCs w:val="16"/>
              </w:rPr>
              <w:t>164,0</w:t>
            </w:r>
            <w:r w:rsidR="00BB2CB3" w:rsidRPr="00897A2C">
              <w:rPr>
                <w:sz w:val="16"/>
                <w:szCs w:val="16"/>
              </w:rPr>
              <w:t xml:space="preserve"> m</w:t>
            </w:r>
          </w:p>
        </w:tc>
        <w:tc>
          <w:tcPr>
            <w:tcW w:w="1648" w:type="dxa"/>
            <w:shd w:val="clear" w:color="auto" w:fill="auto"/>
            <w:vAlign w:val="center"/>
          </w:tcPr>
          <w:p w14:paraId="69E7FC6D" w14:textId="083C3132" w:rsidR="00BB2CB3" w:rsidRPr="00897A2C" w:rsidRDefault="00897A2C" w:rsidP="00FB7C0E">
            <w:pPr>
              <w:spacing w:line="312" w:lineRule="auto"/>
              <w:jc w:val="center"/>
              <w:rPr>
                <w:sz w:val="16"/>
                <w:szCs w:val="16"/>
              </w:rPr>
            </w:pPr>
            <w:r w:rsidRPr="00897A2C">
              <w:rPr>
                <w:sz w:val="16"/>
                <w:szCs w:val="16"/>
              </w:rPr>
              <w:t>149,1</w:t>
            </w:r>
            <w:r w:rsidR="00BB2CB3" w:rsidRPr="00897A2C">
              <w:rPr>
                <w:sz w:val="16"/>
                <w:szCs w:val="16"/>
              </w:rPr>
              <w:t xml:space="preserve"> m</w:t>
            </w:r>
          </w:p>
        </w:tc>
        <w:tc>
          <w:tcPr>
            <w:tcW w:w="1609" w:type="dxa"/>
            <w:shd w:val="clear" w:color="auto" w:fill="auto"/>
            <w:vAlign w:val="center"/>
          </w:tcPr>
          <w:p w14:paraId="03CBDE22" w14:textId="3A5EF5DB" w:rsidR="00BB2CB3" w:rsidRPr="00897A2C" w:rsidRDefault="00897A2C" w:rsidP="00FB7C0E">
            <w:pPr>
              <w:spacing w:line="312" w:lineRule="auto"/>
              <w:jc w:val="center"/>
              <w:rPr>
                <w:sz w:val="16"/>
                <w:szCs w:val="16"/>
              </w:rPr>
            </w:pPr>
            <w:r w:rsidRPr="00897A2C">
              <w:rPr>
                <w:sz w:val="16"/>
                <w:szCs w:val="16"/>
              </w:rPr>
              <w:t>238</w:t>
            </w:r>
            <w:r w:rsidR="00FB7C0E" w:rsidRPr="00897A2C">
              <w:rPr>
                <w:sz w:val="16"/>
                <w:szCs w:val="16"/>
              </w:rPr>
              <w:t>,6</w:t>
            </w:r>
            <w:r w:rsidR="002B6E73" w:rsidRPr="00897A2C">
              <w:rPr>
                <w:sz w:val="16"/>
                <w:szCs w:val="16"/>
              </w:rPr>
              <w:t xml:space="preserve"> m</w:t>
            </w:r>
          </w:p>
        </w:tc>
      </w:tr>
      <w:tr w:rsidR="00897A2C" w:rsidRPr="00897A2C" w14:paraId="0145C243" w14:textId="77777777" w:rsidTr="00897A2C">
        <w:tc>
          <w:tcPr>
            <w:tcW w:w="1383" w:type="dxa"/>
            <w:shd w:val="clear" w:color="auto" w:fill="auto"/>
            <w:vAlign w:val="center"/>
          </w:tcPr>
          <w:p w14:paraId="3415EB30" w14:textId="77777777" w:rsidR="00897A2C" w:rsidRPr="00897A2C" w:rsidRDefault="00897A2C" w:rsidP="00897A2C">
            <w:pPr>
              <w:spacing w:line="312" w:lineRule="auto"/>
              <w:jc w:val="center"/>
              <w:rPr>
                <w:sz w:val="16"/>
                <w:szCs w:val="16"/>
              </w:rPr>
            </w:pPr>
            <w:r w:rsidRPr="00897A2C">
              <w:rPr>
                <w:sz w:val="16"/>
                <w:szCs w:val="16"/>
              </w:rPr>
              <w:t>WEA 2</w:t>
            </w:r>
          </w:p>
        </w:tc>
        <w:tc>
          <w:tcPr>
            <w:tcW w:w="2165" w:type="dxa"/>
            <w:shd w:val="clear" w:color="auto" w:fill="auto"/>
            <w:vAlign w:val="center"/>
          </w:tcPr>
          <w:p w14:paraId="47EC72AB" w14:textId="76340856" w:rsidR="00897A2C" w:rsidRPr="00897A2C" w:rsidRDefault="00897A2C" w:rsidP="00897A2C">
            <w:pPr>
              <w:spacing w:line="312" w:lineRule="auto"/>
              <w:jc w:val="center"/>
              <w:rPr>
                <w:sz w:val="16"/>
                <w:szCs w:val="16"/>
              </w:rPr>
            </w:pPr>
            <w:r w:rsidRPr="00897A2C">
              <w:rPr>
                <w:sz w:val="16"/>
                <w:szCs w:val="16"/>
              </w:rPr>
              <w:t>NORDEX N149 5.X STE</w:t>
            </w:r>
          </w:p>
        </w:tc>
        <w:tc>
          <w:tcPr>
            <w:tcW w:w="1064" w:type="dxa"/>
            <w:shd w:val="clear" w:color="auto" w:fill="auto"/>
            <w:vAlign w:val="center"/>
          </w:tcPr>
          <w:p w14:paraId="54F7E8FB" w14:textId="2150DF81" w:rsidR="00897A2C" w:rsidRPr="00897A2C" w:rsidRDefault="00897A2C" w:rsidP="00897A2C">
            <w:pPr>
              <w:spacing w:line="312" w:lineRule="auto"/>
              <w:jc w:val="center"/>
              <w:rPr>
                <w:sz w:val="16"/>
                <w:szCs w:val="16"/>
              </w:rPr>
            </w:pPr>
            <w:r w:rsidRPr="00897A2C">
              <w:rPr>
                <w:sz w:val="16"/>
                <w:szCs w:val="16"/>
              </w:rPr>
              <w:t>5.700 KW</w:t>
            </w:r>
          </w:p>
        </w:tc>
        <w:tc>
          <w:tcPr>
            <w:tcW w:w="1193" w:type="dxa"/>
            <w:shd w:val="clear" w:color="auto" w:fill="auto"/>
            <w:vAlign w:val="center"/>
          </w:tcPr>
          <w:p w14:paraId="45B1BD60" w14:textId="224CAB31" w:rsidR="00897A2C" w:rsidRPr="00897A2C" w:rsidRDefault="00897A2C" w:rsidP="00897A2C">
            <w:pPr>
              <w:spacing w:line="312" w:lineRule="auto"/>
              <w:jc w:val="center"/>
              <w:rPr>
                <w:sz w:val="16"/>
                <w:szCs w:val="16"/>
              </w:rPr>
            </w:pPr>
            <w:r w:rsidRPr="00897A2C">
              <w:rPr>
                <w:sz w:val="16"/>
                <w:szCs w:val="16"/>
              </w:rPr>
              <w:t>164,0 m</w:t>
            </w:r>
          </w:p>
        </w:tc>
        <w:tc>
          <w:tcPr>
            <w:tcW w:w="1648" w:type="dxa"/>
            <w:shd w:val="clear" w:color="auto" w:fill="auto"/>
            <w:vAlign w:val="center"/>
          </w:tcPr>
          <w:p w14:paraId="4EBADDB2" w14:textId="086CF7BA" w:rsidR="00897A2C" w:rsidRPr="00897A2C" w:rsidRDefault="00897A2C" w:rsidP="00897A2C">
            <w:pPr>
              <w:spacing w:line="312" w:lineRule="auto"/>
              <w:jc w:val="center"/>
              <w:rPr>
                <w:sz w:val="16"/>
                <w:szCs w:val="16"/>
              </w:rPr>
            </w:pPr>
            <w:r w:rsidRPr="00897A2C">
              <w:rPr>
                <w:sz w:val="16"/>
                <w:szCs w:val="16"/>
              </w:rPr>
              <w:t>149,1 m</w:t>
            </w:r>
          </w:p>
        </w:tc>
        <w:tc>
          <w:tcPr>
            <w:tcW w:w="1609" w:type="dxa"/>
            <w:shd w:val="clear" w:color="auto" w:fill="auto"/>
            <w:vAlign w:val="center"/>
          </w:tcPr>
          <w:p w14:paraId="71D7DCFD" w14:textId="58B1E695" w:rsidR="00897A2C" w:rsidRPr="00897A2C" w:rsidRDefault="00897A2C" w:rsidP="00897A2C">
            <w:pPr>
              <w:spacing w:line="312" w:lineRule="auto"/>
              <w:jc w:val="center"/>
              <w:rPr>
                <w:sz w:val="16"/>
                <w:szCs w:val="16"/>
              </w:rPr>
            </w:pPr>
            <w:r w:rsidRPr="00897A2C">
              <w:rPr>
                <w:sz w:val="16"/>
                <w:szCs w:val="16"/>
              </w:rPr>
              <w:t>238,6 m</w:t>
            </w:r>
          </w:p>
        </w:tc>
      </w:tr>
      <w:tr w:rsidR="00897A2C" w:rsidRPr="00897A2C" w14:paraId="74F19F2A" w14:textId="77777777" w:rsidTr="00897A2C">
        <w:tc>
          <w:tcPr>
            <w:tcW w:w="1383" w:type="dxa"/>
            <w:shd w:val="clear" w:color="auto" w:fill="auto"/>
            <w:vAlign w:val="center"/>
          </w:tcPr>
          <w:p w14:paraId="6C3A2AA0" w14:textId="77777777" w:rsidR="00897A2C" w:rsidRPr="00897A2C" w:rsidRDefault="00897A2C" w:rsidP="00897A2C">
            <w:pPr>
              <w:spacing w:line="312" w:lineRule="auto"/>
              <w:jc w:val="center"/>
              <w:rPr>
                <w:sz w:val="16"/>
                <w:szCs w:val="16"/>
              </w:rPr>
            </w:pPr>
            <w:r w:rsidRPr="00897A2C">
              <w:rPr>
                <w:sz w:val="16"/>
                <w:szCs w:val="16"/>
              </w:rPr>
              <w:t>WEA 3</w:t>
            </w:r>
          </w:p>
        </w:tc>
        <w:tc>
          <w:tcPr>
            <w:tcW w:w="2165" w:type="dxa"/>
            <w:shd w:val="clear" w:color="auto" w:fill="auto"/>
            <w:vAlign w:val="center"/>
          </w:tcPr>
          <w:p w14:paraId="0E82355D" w14:textId="441EF425" w:rsidR="00897A2C" w:rsidRPr="00897A2C" w:rsidRDefault="00897A2C" w:rsidP="00897A2C">
            <w:pPr>
              <w:spacing w:line="312" w:lineRule="auto"/>
              <w:jc w:val="center"/>
              <w:rPr>
                <w:sz w:val="16"/>
                <w:szCs w:val="16"/>
              </w:rPr>
            </w:pPr>
            <w:r w:rsidRPr="00897A2C">
              <w:rPr>
                <w:sz w:val="16"/>
                <w:szCs w:val="16"/>
              </w:rPr>
              <w:t>NORDEX N149 5.X STE</w:t>
            </w:r>
          </w:p>
        </w:tc>
        <w:tc>
          <w:tcPr>
            <w:tcW w:w="1064" w:type="dxa"/>
            <w:shd w:val="clear" w:color="auto" w:fill="auto"/>
            <w:vAlign w:val="center"/>
          </w:tcPr>
          <w:p w14:paraId="3445EBC1" w14:textId="1623B84D" w:rsidR="00897A2C" w:rsidRPr="00897A2C" w:rsidRDefault="00897A2C" w:rsidP="00897A2C">
            <w:pPr>
              <w:spacing w:line="312" w:lineRule="auto"/>
              <w:jc w:val="center"/>
              <w:rPr>
                <w:sz w:val="16"/>
                <w:szCs w:val="16"/>
              </w:rPr>
            </w:pPr>
            <w:r w:rsidRPr="00897A2C">
              <w:rPr>
                <w:sz w:val="16"/>
                <w:szCs w:val="16"/>
              </w:rPr>
              <w:t>5.700 KW</w:t>
            </w:r>
          </w:p>
        </w:tc>
        <w:tc>
          <w:tcPr>
            <w:tcW w:w="1193" w:type="dxa"/>
            <w:shd w:val="clear" w:color="auto" w:fill="auto"/>
            <w:vAlign w:val="center"/>
          </w:tcPr>
          <w:p w14:paraId="79722313" w14:textId="5B24BA60" w:rsidR="00897A2C" w:rsidRPr="00897A2C" w:rsidRDefault="00897A2C" w:rsidP="00897A2C">
            <w:pPr>
              <w:spacing w:line="312" w:lineRule="auto"/>
              <w:jc w:val="center"/>
              <w:rPr>
                <w:sz w:val="16"/>
                <w:szCs w:val="16"/>
              </w:rPr>
            </w:pPr>
            <w:r w:rsidRPr="00897A2C">
              <w:rPr>
                <w:sz w:val="16"/>
                <w:szCs w:val="16"/>
              </w:rPr>
              <w:t>164,0 m</w:t>
            </w:r>
          </w:p>
        </w:tc>
        <w:tc>
          <w:tcPr>
            <w:tcW w:w="1648" w:type="dxa"/>
            <w:shd w:val="clear" w:color="auto" w:fill="auto"/>
            <w:vAlign w:val="center"/>
          </w:tcPr>
          <w:p w14:paraId="2AB8998C" w14:textId="74535AAC" w:rsidR="00897A2C" w:rsidRPr="00897A2C" w:rsidRDefault="00897A2C" w:rsidP="00897A2C">
            <w:pPr>
              <w:spacing w:line="312" w:lineRule="auto"/>
              <w:jc w:val="center"/>
              <w:rPr>
                <w:sz w:val="16"/>
                <w:szCs w:val="16"/>
              </w:rPr>
            </w:pPr>
            <w:r w:rsidRPr="00897A2C">
              <w:rPr>
                <w:sz w:val="16"/>
                <w:szCs w:val="16"/>
              </w:rPr>
              <w:t>149,1 m</w:t>
            </w:r>
          </w:p>
        </w:tc>
        <w:tc>
          <w:tcPr>
            <w:tcW w:w="1609" w:type="dxa"/>
            <w:shd w:val="clear" w:color="auto" w:fill="auto"/>
            <w:vAlign w:val="center"/>
          </w:tcPr>
          <w:p w14:paraId="06E75D44" w14:textId="3D84F545" w:rsidR="00897A2C" w:rsidRPr="00897A2C" w:rsidRDefault="00897A2C" w:rsidP="00897A2C">
            <w:pPr>
              <w:spacing w:line="312" w:lineRule="auto"/>
              <w:jc w:val="center"/>
              <w:rPr>
                <w:sz w:val="16"/>
                <w:szCs w:val="16"/>
              </w:rPr>
            </w:pPr>
            <w:r w:rsidRPr="00897A2C">
              <w:rPr>
                <w:sz w:val="16"/>
                <w:szCs w:val="16"/>
              </w:rPr>
              <w:t>238,6 m</w:t>
            </w:r>
          </w:p>
        </w:tc>
      </w:tr>
    </w:tbl>
    <w:p w14:paraId="00FBE323" w14:textId="5E7FA719" w:rsidR="000C7E9B" w:rsidRPr="00897A2C" w:rsidRDefault="000C7E9B" w:rsidP="00511613">
      <w:pPr>
        <w:spacing w:line="312" w:lineRule="auto"/>
        <w:jc w:val="both"/>
        <w:rPr>
          <w:b/>
          <w:bCs/>
          <w:u w:val="single"/>
        </w:rPr>
      </w:pPr>
    </w:p>
    <w:p w14:paraId="5A456C69" w14:textId="77777777" w:rsidR="003E56F3" w:rsidRPr="00897A2C" w:rsidRDefault="001222D5" w:rsidP="00511613">
      <w:pPr>
        <w:spacing w:line="312" w:lineRule="auto"/>
        <w:jc w:val="both"/>
        <w:rPr>
          <w:b/>
          <w:bCs/>
          <w:u w:val="single"/>
        </w:rPr>
      </w:pPr>
      <w:r w:rsidRPr="00897A2C">
        <w:rPr>
          <w:b/>
          <w:bCs/>
          <w:u w:val="single"/>
        </w:rPr>
        <w:t>Lärmschutz</w:t>
      </w:r>
    </w:p>
    <w:p w14:paraId="345CE8EA" w14:textId="77777777" w:rsidR="003E56F3" w:rsidRPr="00897A2C" w:rsidRDefault="003E56F3" w:rsidP="00511613">
      <w:pPr>
        <w:spacing w:line="312" w:lineRule="auto"/>
        <w:jc w:val="both"/>
        <w:rPr>
          <w:u w:val="single"/>
        </w:rPr>
      </w:pPr>
    </w:p>
    <w:p w14:paraId="5F4DD0D8" w14:textId="17FFECE3" w:rsidR="00554197" w:rsidRDefault="00554197" w:rsidP="00010121">
      <w:pPr>
        <w:spacing w:line="312" w:lineRule="auto"/>
        <w:jc w:val="both"/>
      </w:pPr>
      <w:r>
        <w:t>Für die Ermittlung und Bewertung der Geräusche ist die Sechste Allgemeine Verwaltungsvorschrift zum Bundes-Immissionsschutzgesetz (Technische Anleitung zum Schutz gegen Lärm – TA Lärm) maßgebend. Die aktuellen Hinweise zum Schallimmissionsschutz bei Windkraftanlagen der Bund/länder-Arbeitsgemeinschaft Immissionsschutz (LAI), Stand: 30.06.2016 sind zu berücksichtigen.</w:t>
      </w:r>
    </w:p>
    <w:p w14:paraId="69EBBADF" w14:textId="2DF83962" w:rsidR="00554197" w:rsidRDefault="00554197" w:rsidP="00010121">
      <w:pPr>
        <w:spacing w:line="312" w:lineRule="auto"/>
        <w:jc w:val="both"/>
      </w:pPr>
    </w:p>
    <w:p w14:paraId="26BE348D" w14:textId="5CD852CF" w:rsidR="00AF6B2E" w:rsidRDefault="00AF6B2E" w:rsidP="00010121">
      <w:pPr>
        <w:spacing w:line="312" w:lineRule="auto"/>
        <w:jc w:val="both"/>
      </w:pPr>
      <w:r>
        <w:t>Bei Errichtung, Betrieb und Wartung der WEA ist der Stand der Technik gemäß § 5 Abs. 1 Nr.</w:t>
      </w:r>
      <w:r w:rsidR="00FB0A69">
        <w:t> </w:t>
      </w:r>
      <w:r>
        <w:t xml:space="preserve">2 BImSchG in Verbindung mit der TA Lärm Nr. 2.5 und 3.1b zu gewährleisten. </w:t>
      </w:r>
    </w:p>
    <w:p w14:paraId="570B01D8" w14:textId="68D724E1" w:rsidR="005061DB" w:rsidRDefault="005061DB" w:rsidP="00010121">
      <w:pPr>
        <w:spacing w:line="312" w:lineRule="auto"/>
        <w:jc w:val="both"/>
      </w:pPr>
    </w:p>
    <w:p w14:paraId="546CE4AC" w14:textId="028EC100" w:rsidR="005061DB" w:rsidRPr="004C3349" w:rsidRDefault="005061DB" w:rsidP="005061DB">
      <w:pPr>
        <w:spacing w:line="312" w:lineRule="auto"/>
        <w:jc w:val="both"/>
      </w:pPr>
      <w:r>
        <w:t xml:space="preserve">Geräuschverursachende Erscheinungen, die durch nicht bestimmungsgemäßen Betrieb, Verschleiß oder unvorhersehbare Ereignisse entstehen, sind durch regelmäßige Wartungsdienste bzw. umgehende Ersatzreparaturen zu vermeiden bzw. zu beseitigen. </w:t>
      </w:r>
    </w:p>
    <w:p w14:paraId="4C97CDB8" w14:textId="77777777" w:rsidR="005061DB" w:rsidRDefault="005061DB" w:rsidP="00010121">
      <w:pPr>
        <w:spacing w:line="312" w:lineRule="auto"/>
        <w:jc w:val="both"/>
      </w:pPr>
    </w:p>
    <w:p w14:paraId="6B60261B" w14:textId="7FB550DA" w:rsidR="003E56F3" w:rsidRPr="00897A2C" w:rsidRDefault="003E56F3" w:rsidP="00010121">
      <w:pPr>
        <w:spacing w:line="312" w:lineRule="auto"/>
        <w:jc w:val="both"/>
      </w:pPr>
      <w:r w:rsidRPr="00897A2C">
        <w:t xml:space="preserve">Spätestens eine Woche vor Inbetriebnahme der Windenergieanlagen ist der zuständigen Immissionsschutzbehörde (hier: Landkreis Börde, </w:t>
      </w:r>
      <w:r w:rsidR="00266E6F" w:rsidRPr="00897A2C">
        <w:t>Amt für Planung und Umwelt</w:t>
      </w:r>
      <w:r w:rsidRPr="00897A2C">
        <w:t>, Sachgebiet Immissionsschutz) durch Herstellerbescheinigungen zu belegen, dass die errichteten Windenergieanlagen in ihren wesentlichen Elementen und in ihrer Regelung mit denjenigen Anlagen</w:t>
      </w:r>
      <w:r w:rsidR="00D53731" w:rsidRPr="00897A2C">
        <w:t xml:space="preserve"> </w:t>
      </w:r>
      <w:r w:rsidRPr="00897A2C">
        <w:t>übereinstimmen, die der akustischen Planung zugrunde gelegt worden sind (Konformitätsbescheinigung).</w:t>
      </w:r>
    </w:p>
    <w:p w14:paraId="2A179C20" w14:textId="343AC325" w:rsidR="00554197" w:rsidRPr="00C96E90" w:rsidRDefault="00554197" w:rsidP="00511613">
      <w:pPr>
        <w:spacing w:line="312" w:lineRule="auto"/>
        <w:jc w:val="both"/>
      </w:pPr>
    </w:p>
    <w:p w14:paraId="1C0B5CD8" w14:textId="77777777" w:rsidR="000C7A08" w:rsidRPr="00C96E90" w:rsidRDefault="000C7A08" w:rsidP="00511613">
      <w:pPr>
        <w:spacing w:line="312" w:lineRule="auto"/>
        <w:jc w:val="both"/>
        <w:rPr>
          <w:rFonts w:ascii="Times New Roman" w:hAnsi="Times New Roman" w:cs="Times New Roman"/>
        </w:rPr>
      </w:pPr>
      <w:r w:rsidRPr="00C96E90">
        <w:t>Die Windenergieanlagen</w:t>
      </w:r>
      <w:r w:rsidR="00312DA4" w:rsidRPr="00C96E90">
        <w:t xml:space="preserve"> (WEA)</w:t>
      </w:r>
      <w:r w:rsidRPr="00C96E90">
        <w:t xml:space="preserve"> dürfen nicht tonhaltig sein. Tonhaltig sind WEA, für die nach TA Lärm ein Tonzuschlag von 3 dB oder 6 dB zu vergeben ist.</w:t>
      </w:r>
    </w:p>
    <w:p w14:paraId="7AF57F5D" w14:textId="77777777" w:rsidR="003E56F3" w:rsidRPr="00F72106" w:rsidRDefault="003E56F3" w:rsidP="00511613">
      <w:pPr>
        <w:spacing w:line="312" w:lineRule="auto"/>
        <w:jc w:val="both"/>
        <w:rPr>
          <w:u w:val="single"/>
        </w:rPr>
      </w:pPr>
    </w:p>
    <w:p w14:paraId="31A632AE" w14:textId="77777777" w:rsidR="00AF6B2E" w:rsidRDefault="00782560" w:rsidP="00FF0793">
      <w:pPr>
        <w:spacing w:line="312" w:lineRule="auto"/>
        <w:jc w:val="both"/>
      </w:pPr>
      <w:r w:rsidRPr="00F72106">
        <w:t xml:space="preserve">Die </w:t>
      </w:r>
      <w:r w:rsidR="00C96E90" w:rsidRPr="00F72106">
        <w:t>drei</w:t>
      </w:r>
      <w:r w:rsidRPr="00F72106">
        <w:t xml:space="preserve"> Windenergieanlagen WEA </w:t>
      </w:r>
      <w:r w:rsidR="002914CE" w:rsidRPr="00F72106">
        <w:t>1</w:t>
      </w:r>
      <w:r w:rsidRPr="00F72106">
        <w:t xml:space="preserve"> bis WEA </w:t>
      </w:r>
      <w:r w:rsidR="00C96E90" w:rsidRPr="00F72106">
        <w:t>3</w:t>
      </w:r>
      <w:r w:rsidRPr="00F72106">
        <w:t xml:space="preserve"> </w:t>
      </w:r>
      <w:r w:rsidR="00AF6B2E">
        <w:t xml:space="preserve">dürfen in der Tag- und Nachtzeit in folgendem Betriebsmodus betrieben werden: </w:t>
      </w:r>
    </w:p>
    <w:p w14:paraId="0573739D" w14:textId="77777777" w:rsidR="00AF6B2E" w:rsidRDefault="00AF6B2E" w:rsidP="00FF0793">
      <w:pPr>
        <w:spacing w:line="312" w:lineRule="auto"/>
        <w:jc w:val="both"/>
      </w:pPr>
    </w:p>
    <w:tbl>
      <w:tblPr>
        <w:tblStyle w:val="Tabellenraster"/>
        <w:tblW w:w="0" w:type="auto"/>
        <w:tblLook w:val="04A0" w:firstRow="1" w:lastRow="0" w:firstColumn="1" w:lastColumn="0" w:noHBand="0" w:noVBand="1"/>
      </w:tblPr>
      <w:tblGrid>
        <w:gridCol w:w="846"/>
        <w:gridCol w:w="1701"/>
        <w:gridCol w:w="2407"/>
        <w:gridCol w:w="1704"/>
        <w:gridCol w:w="2404"/>
      </w:tblGrid>
      <w:tr w:rsidR="00AF6B2E" w:rsidRPr="00AD1947" w14:paraId="621B60B5" w14:textId="77777777" w:rsidTr="00083771">
        <w:tc>
          <w:tcPr>
            <w:tcW w:w="846" w:type="dxa"/>
            <w:vMerge w:val="restart"/>
            <w:vAlign w:val="center"/>
          </w:tcPr>
          <w:p w14:paraId="6A7BA215" w14:textId="64E1F691" w:rsidR="00AF6B2E" w:rsidRPr="00AD1947" w:rsidRDefault="00AF6B2E" w:rsidP="00083771">
            <w:pPr>
              <w:spacing w:line="312" w:lineRule="auto"/>
              <w:rPr>
                <w:b/>
                <w:sz w:val="20"/>
              </w:rPr>
            </w:pPr>
            <w:r w:rsidRPr="00AD1947">
              <w:rPr>
                <w:b/>
                <w:sz w:val="20"/>
              </w:rPr>
              <w:t>WEA</w:t>
            </w:r>
          </w:p>
        </w:tc>
        <w:tc>
          <w:tcPr>
            <w:tcW w:w="4108" w:type="dxa"/>
            <w:gridSpan w:val="2"/>
            <w:vAlign w:val="center"/>
          </w:tcPr>
          <w:p w14:paraId="15739D35" w14:textId="3380548B" w:rsidR="00AF6B2E" w:rsidRPr="00AD1947" w:rsidRDefault="00AF6B2E" w:rsidP="00083771">
            <w:pPr>
              <w:spacing w:line="312" w:lineRule="auto"/>
              <w:rPr>
                <w:b/>
                <w:sz w:val="20"/>
              </w:rPr>
            </w:pPr>
            <w:r w:rsidRPr="00AD1947">
              <w:rPr>
                <w:b/>
                <w:sz w:val="20"/>
              </w:rPr>
              <w:t>Tagzeitraum – 06:00 – 22:00 Uhr</w:t>
            </w:r>
          </w:p>
        </w:tc>
        <w:tc>
          <w:tcPr>
            <w:tcW w:w="4108" w:type="dxa"/>
            <w:gridSpan w:val="2"/>
            <w:vAlign w:val="center"/>
          </w:tcPr>
          <w:p w14:paraId="5B478738" w14:textId="2281E35E" w:rsidR="00AF6B2E" w:rsidRPr="00AD1947" w:rsidRDefault="00AF6B2E" w:rsidP="00083771">
            <w:pPr>
              <w:spacing w:line="312" w:lineRule="auto"/>
              <w:rPr>
                <w:b/>
                <w:sz w:val="20"/>
              </w:rPr>
            </w:pPr>
            <w:r w:rsidRPr="00AD1947">
              <w:rPr>
                <w:b/>
                <w:sz w:val="20"/>
              </w:rPr>
              <w:t>Nachtzeitraum – 22:00 – 06:00 Uhr</w:t>
            </w:r>
          </w:p>
        </w:tc>
      </w:tr>
      <w:tr w:rsidR="00AF6B2E" w:rsidRPr="00AD1947" w14:paraId="5CD20E55" w14:textId="77777777" w:rsidTr="00083771">
        <w:tc>
          <w:tcPr>
            <w:tcW w:w="846" w:type="dxa"/>
            <w:vMerge/>
            <w:vAlign w:val="center"/>
          </w:tcPr>
          <w:p w14:paraId="4F59F923" w14:textId="77777777" w:rsidR="00AF6B2E" w:rsidRPr="00AD1947" w:rsidRDefault="00AF6B2E" w:rsidP="00083771">
            <w:pPr>
              <w:spacing w:line="312" w:lineRule="auto"/>
              <w:rPr>
                <w:b/>
                <w:sz w:val="20"/>
              </w:rPr>
            </w:pPr>
          </w:p>
        </w:tc>
        <w:tc>
          <w:tcPr>
            <w:tcW w:w="1701" w:type="dxa"/>
            <w:vAlign w:val="center"/>
          </w:tcPr>
          <w:p w14:paraId="49B79772" w14:textId="7C59E547" w:rsidR="00AF6B2E" w:rsidRPr="00AD1947" w:rsidRDefault="00AF6B2E" w:rsidP="00083771">
            <w:pPr>
              <w:spacing w:line="312" w:lineRule="auto"/>
              <w:rPr>
                <w:b/>
                <w:sz w:val="20"/>
              </w:rPr>
            </w:pPr>
            <w:r w:rsidRPr="00AD1947">
              <w:rPr>
                <w:b/>
                <w:sz w:val="20"/>
              </w:rPr>
              <w:t>Betriebsmodus</w:t>
            </w:r>
          </w:p>
        </w:tc>
        <w:tc>
          <w:tcPr>
            <w:tcW w:w="2407" w:type="dxa"/>
            <w:vAlign w:val="center"/>
          </w:tcPr>
          <w:p w14:paraId="2339C130" w14:textId="53C59303" w:rsidR="00AF6B2E" w:rsidRPr="00AD1947" w:rsidRDefault="00AF6B2E" w:rsidP="00083771">
            <w:pPr>
              <w:spacing w:line="312" w:lineRule="auto"/>
              <w:rPr>
                <w:b/>
                <w:sz w:val="20"/>
              </w:rPr>
            </w:pPr>
            <w:r w:rsidRPr="00AD1947">
              <w:rPr>
                <w:b/>
                <w:sz w:val="20"/>
              </w:rPr>
              <w:t xml:space="preserve">Nennleistung </w:t>
            </w:r>
            <w:proofErr w:type="spellStart"/>
            <w:r w:rsidRPr="00AD1947">
              <w:rPr>
                <w:b/>
                <w:sz w:val="20"/>
              </w:rPr>
              <w:t>P</w:t>
            </w:r>
            <w:r w:rsidRPr="00AD1947">
              <w:rPr>
                <w:b/>
                <w:sz w:val="20"/>
                <w:vertAlign w:val="subscript"/>
              </w:rPr>
              <w:t>el</w:t>
            </w:r>
            <w:proofErr w:type="spellEnd"/>
            <w:r w:rsidRPr="00AD1947">
              <w:rPr>
                <w:b/>
                <w:sz w:val="20"/>
                <w:vertAlign w:val="subscript"/>
              </w:rPr>
              <w:t xml:space="preserve"> </w:t>
            </w:r>
            <w:r w:rsidRPr="00AD1947">
              <w:rPr>
                <w:b/>
                <w:sz w:val="20"/>
              </w:rPr>
              <w:t>[kW]</w:t>
            </w:r>
          </w:p>
        </w:tc>
        <w:tc>
          <w:tcPr>
            <w:tcW w:w="1704" w:type="dxa"/>
            <w:vAlign w:val="center"/>
          </w:tcPr>
          <w:p w14:paraId="79B520EE" w14:textId="104E040D" w:rsidR="00AF6B2E" w:rsidRPr="00AD1947" w:rsidRDefault="00AF6B2E" w:rsidP="00083771">
            <w:pPr>
              <w:spacing w:line="312" w:lineRule="auto"/>
              <w:rPr>
                <w:b/>
                <w:sz w:val="20"/>
              </w:rPr>
            </w:pPr>
            <w:r w:rsidRPr="00AD1947">
              <w:rPr>
                <w:b/>
                <w:sz w:val="20"/>
              </w:rPr>
              <w:t>Betriebsmodus</w:t>
            </w:r>
          </w:p>
        </w:tc>
        <w:tc>
          <w:tcPr>
            <w:tcW w:w="2404" w:type="dxa"/>
            <w:vAlign w:val="center"/>
          </w:tcPr>
          <w:p w14:paraId="34BD4A24" w14:textId="1BFE2F7B" w:rsidR="00AF6B2E" w:rsidRPr="00AD1947" w:rsidRDefault="00AF6B2E" w:rsidP="00083771">
            <w:pPr>
              <w:spacing w:line="312" w:lineRule="auto"/>
              <w:rPr>
                <w:b/>
                <w:sz w:val="20"/>
              </w:rPr>
            </w:pPr>
            <w:r w:rsidRPr="00AD1947">
              <w:rPr>
                <w:b/>
                <w:sz w:val="20"/>
              </w:rPr>
              <w:t xml:space="preserve">Nennleistung </w:t>
            </w:r>
            <w:proofErr w:type="spellStart"/>
            <w:r w:rsidRPr="00AD1947">
              <w:rPr>
                <w:b/>
                <w:sz w:val="20"/>
              </w:rPr>
              <w:t>P</w:t>
            </w:r>
            <w:r w:rsidRPr="00AD1947">
              <w:rPr>
                <w:b/>
                <w:sz w:val="20"/>
                <w:vertAlign w:val="subscript"/>
              </w:rPr>
              <w:t>el</w:t>
            </w:r>
            <w:proofErr w:type="spellEnd"/>
            <w:r w:rsidRPr="00AD1947">
              <w:rPr>
                <w:b/>
                <w:sz w:val="20"/>
                <w:vertAlign w:val="subscript"/>
              </w:rPr>
              <w:t xml:space="preserve"> </w:t>
            </w:r>
            <w:r w:rsidRPr="00AD1947">
              <w:rPr>
                <w:b/>
                <w:sz w:val="20"/>
              </w:rPr>
              <w:t>[kW]</w:t>
            </w:r>
          </w:p>
        </w:tc>
      </w:tr>
      <w:tr w:rsidR="00AF6B2E" w:rsidRPr="00AD1947" w14:paraId="384DF70B" w14:textId="77777777" w:rsidTr="00083771">
        <w:tc>
          <w:tcPr>
            <w:tcW w:w="846" w:type="dxa"/>
            <w:vAlign w:val="center"/>
          </w:tcPr>
          <w:p w14:paraId="4B3A5D04" w14:textId="77777777" w:rsidR="00AF6B2E" w:rsidRDefault="00083771" w:rsidP="00083771">
            <w:pPr>
              <w:spacing w:line="312" w:lineRule="auto"/>
              <w:rPr>
                <w:sz w:val="20"/>
              </w:rPr>
            </w:pPr>
            <w:r>
              <w:rPr>
                <w:sz w:val="20"/>
              </w:rPr>
              <w:t>WEA 1</w:t>
            </w:r>
          </w:p>
          <w:p w14:paraId="017CC91F" w14:textId="09AAE1F5" w:rsidR="00083771" w:rsidRPr="00AD1947" w:rsidRDefault="00083771" w:rsidP="00083771">
            <w:pPr>
              <w:spacing w:line="312" w:lineRule="auto"/>
              <w:rPr>
                <w:sz w:val="20"/>
              </w:rPr>
            </w:pPr>
            <w:r>
              <w:rPr>
                <w:sz w:val="20"/>
              </w:rPr>
              <w:t>WEA 2</w:t>
            </w:r>
          </w:p>
        </w:tc>
        <w:tc>
          <w:tcPr>
            <w:tcW w:w="1701" w:type="dxa"/>
            <w:vAlign w:val="center"/>
          </w:tcPr>
          <w:p w14:paraId="2B3C4F81" w14:textId="20E3B3B3" w:rsidR="00AF6B2E" w:rsidRPr="00AD1947" w:rsidRDefault="00083771" w:rsidP="00083771">
            <w:pPr>
              <w:spacing w:line="312" w:lineRule="auto"/>
              <w:rPr>
                <w:sz w:val="20"/>
              </w:rPr>
            </w:pPr>
            <w:r>
              <w:rPr>
                <w:sz w:val="20"/>
              </w:rPr>
              <w:t>Mode 0</w:t>
            </w:r>
          </w:p>
        </w:tc>
        <w:tc>
          <w:tcPr>
            <w:tcW w:w="2407" w:type="dxa"/>
            <w:vAlign w:val="center"/>
          </w:tcPr>
          <w:p w14:paraId="43C2C5E8" w14:textId="222750D7" w:rsidR="00AF6B2E" w:rsidRPr="00AD1947" w:rsidRDefault="00083771" w:rsidP="00083771">
            <w:pPr>
              <w:spacing w:line="312" w:lineRule="auto"/>
              <w:rPr>
                <w:sz w:val="20"/>
              </w:rPr>
            </w:pPr>
            <w:r>
              <w:rPr>
                <w:sz w:val="20"/>
              </w:rPr>
              <w:t>5.700</w:t>
            </w:r>
          </w:p>
        </w:tc>
        <w:tc>
          <w:tcPr>
            <w:tcW w:w="1704" w:type="dxa"/>
            <w:vAlign w:val="center"/>
          </w:tcPr>
          <w:p w14:paraId="222F238C" w14:textId="58ED4687" w:rsidR="00AF6B2E" w:rsidRPr="00AD1947" w:rsidRDefault="00083771" w:rsidP="00083771">
            <w:pPr>
              <w:spacing w:line="312" w:lineRule="auto"/>
              <w:rPr>
                <w:sz w:val="20"/>
              </w:rPr>
            </w:pPr>
            <w:r>
              <w:rPr>
                <w:sz w:val="20"/>
              </w:rPr>
              <w:t>Mode 10</w:t>
            </w:r>
          </w:p>
        </w:tc>
        <w:tc>
          <w:tcPr>
            <w:tcW w:w="2404" w:type="dxa"/>
            <w:vAlign w:val="center"/>
          </w:tcPr>
          <w:p w14:paraId="05736DF5" w14:textId="606F0294" w:rsidR="00AF6B2E" w:rsidRPr="00AD1947" w:rsidRDefault="00083771" w:rsidP="00083771">
            <w:pPr>
              <w:spacing w:line="312" w:lineRule="auto"/>
              <w:rPr>
                <w:sz w:val="20"/>
              </w:rPr>
            </w:pPr>
            <w:r w:rsidRPr="00083771">
              <w:rPr>
                <w:sz w:val="20"/>
              </w:rPr>
              <w:t>4.290</w:t>
            </w:r>
          </w:p>
        </w:tc>
      </w:tr>
      <w:tr w:rsidR="00083771" w:rsidRPr="00AD1947" w14:paraId="56A0906B" w14:textId="77777777" w:rsidTr="00083771">
        <w:tc>
          <w:tcPr>
            <w:tcW w:w="846" w:type="dxa"/>
            <w:vAlign w:val="center"/>
          </w:tcPr>
          <w:p w14:paraId="7B9C1E8E" w14:textId="4174D7A7" w:rsidR="00083771" w:rsidRDefault="00083771" w:rsidP="00083771">
            <w:pPr>
              <w:spacing w:line="312" w:lineRule="auto"/>
              <w:rPr>
                <w:sz w:val="20"/>
              </w:rPr>
            </w:pPr>
            <w:r>
              <w:rPr>
                <w:sz w:val="20"/>
              </w:rPr>
              <w:t>WEA 3</w:t>
            </w:r>
          </w:p>
        </w:tc>
        <w:tc>
          <w:tcPr>
            <w:tcW w:w="1701" w:type="dxa"/>
            <w:vAlign w:val="center"/>
          </w:tcPr>
          <w:p w14:paraId="2F4D222D" w14:textId="280C31A1" w:rsidR="00083771" w:rsidRPr="00AD1947" w:rsidRDefault="00083771" w:rsidP="00083771">
            <w:pPr>
              <w:spacing w:line="312" w:lineRule="auto"/>
              <w:rPr>
                <w:sz w:val="20"/>
              </w:rPr>
            </w:pPr>
            <w:r>
              <w:rPr>
                <w:sz w:val="20"/>
              </w:rPr>
              <w:t>Mode 0</w:t>
            </w:r>
          </w:p>
        </w:tc>
        <w:tc>
          <w:tcPr>
            <w:tcW w:w="2407" w:type="dxa"/>
            <w:vAlign w:val="center"/>
          </w:tcPr>
          <w:p w14:paraId="3D24E41A" w14:textId="40CD0B2A" w:rsidR="00083771" w:rsidRPr="00AD1947" w:rsidRDefault="00083771" w:rsidP="00083771">
            <w:pPr>
              <w:spacing w:line="312" w:lineRule="auto"/>
              <w:rPr>
                <w:sz w:val="20"/>
              </w:rPr>
            </w:pPr>
            <w:r>
              <w:rPr>
                <w:sz w:val="20"/>
              </w:rPr>
              <w:t>5.700</w:t>
            </w:r>
          </w:p>
        </w:tc>
        <w:tc>
          <w:tcPr>
            <w:tcW w:w="1704" w:type="dxa"/>
            <w:vAlign w:val="center"/>
          </w:tcPr>
          <w:p w14:paraId="4B4F856C" w14:textId="5DFA5D23" w:rsidR="00083771" w:rsidRPr="00AD1947" w:rsidRDefault="00083771" w:rsidP="00083771">
            <w:pPr>
              <w:spacing w:line="312" w:lineRule="auto"/>
              <w:rPr>
                <w:sz w:val="20"/>
              </w:rPr>
            </w:pPr>
            <w:r>
              <w:rPr>
                <w:sz w:val="20"/>
              </w:rPr>
              <w:t>Mode 9</w:t>
            </w:r>
          </w:p>
        </w:tc>
        <w:tc>
          <w:tcPr>
            <w:tcW w:w="2404" w:type="dxa"/>
            <w:vAlign w:val="center"/>
          </w:tcPr>
          <w:p w14:paraId="44BE611E" w14:textId="2DBBB251" w:rsidR="00083771" w:rsidRPr="00AD1947" w:rsidRDefault="00083771" w:rsidP="00083771">
            <w:pPr>
              <w:spacing w:line="312" w:lineRule="auto"/>
              <w:rPr>
                <w:sz w:val="20"/>
              </w:rPr>
            </w:pPr>
            <w:r w:rsidRPr="00083771">
              <w:rPr>
                <w:sz w:val="20"/>
              </w:rPr>
              <w:t>4.720</w:t>
            </w:r>
          </w:p>
        </w:tc>
      </w:tr>
    </w:tbl>
    <w:p w14:paraId="44D32BD3" w14:textId="77777777" w:rsidR="00AF6B2E" w:rsidRDefault="00AF6B2E" w:rsidP="00FF0793">
      <w:pPr>
        <w:spacing w:line="312" w:lineRule="auto"/>
        <w:jc w:val="both"/>
      </w:pPr>
    </w:p>
    <w:p w14:paraId="24FE5396" w14:textId="0A77D3B1" w:rsidR="00AF6B2E" w:rsidRDefault="00083771" w:rsidP="00FF0793">
      <w:pPr>
        <w:spacing w:line="312" w:lineRule="auto"/>
        <w:jc w:val="both"/>
      </w:pPr>
      <w:r>
        <w:t xml:space="preserve">Zur Kennzeichnung der maximal zulässigen Emissionen, sowie des genehmigungskonformen Betriebs gelten folgende Werte für den entsprechenden Betriebsmodus: </w:t>
      </w:r>
    </w:p>
    <w:p w14:paraId="2A41FCA9" w14:textId="77777777" w:rsidR="00AF6B2E" w:rsidRDefault="00AF6B2E" w:rsidP="00FF0793">
      <w:pPr>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28"/>
        <w:gridCol w:w="1073"/>
        <w:gridCol w:w="656"/>
        <w:gridCol w:w="657"/>
        <w:gridCol w:w="674"/>
        <w:gridCol w:w="674"/>
        <w:gridCol w:w="674"/>
        <w:gridCol w:w="667"/>
        <w:gridCol w:w="666"/>
        <w:gridCol w:w="666"/>
      </w:tblGrid>
      <w:tr w:rsidR="00F72106" w:rsidRPr="00F72106" w14:paraId="35C7B298" w14:textId="77777777" w:rsidTr="00B4367D">
        <w:trPr>
          <w:jc w:val="center"/>
        </w:trPr>
        <w:tc>
          <w:tcPr>
            <w:tcW w:w="3728" w:type="dxa"/>
            <w:gridSpan w:val="3"/>
            <w:shd w:val="clear" w:color="auto" w:fill="auto"/>
            <w:vAlign w:val="center"/>
          </w:tcPr>
          <w:p w14:paraId="1BE2E52C" w14:textId="77777777" w:rsidR="00814CD5" w:rsidRPr="00F72106" w:rsidRDefault="003717A9" w:rsidP="00187CFE">
            <w:pPr>
              <w:spacing w:line="312" w:lineRule="auto"/>
              <w:jc w:val="center"/>
              <w:rPr>
                <w:b/>
                <w:bCs/>
                <w:sz w:val="18"/>
                <w:szCs w:val="18"/>
              </w:rPr>
            </w:pPr>
            <w:r w:rsidRPr="00F72106">
              <w:rPr>
                <w:b/>
                <w:bCs/>
                <w:sz w:val="18"/>
                <w:szCs w:val="18"/>
              </w:rPr>
              <w:t>Betriebsmodus:</w:t>
            </w:r>
          </w:p>
          <w:p w14:paraId="6A7E8D8B" w14:textId="04FA9B9D" w:rsidR="003717A9" w:rsidRPr="00F72106" w:rsidRDefault="00F72106" w:rsidP="00187CFE">
            <w:pPr>
              <w:spacing w:line="312" w:lineRule="auto"/>
              <w:jc w:val="center"/>
              <w:rPr>
                <w:b/>
                <w:bCs/>
                <w:sz w:val="18"/>
                <w:szCs w:val="18"/>
              </w:rPr>
            </w:pPr>
            <w:r w:rsidRPr="00F72106">
              <w:rPr>
                <w:b/>
                <w:bCs/>
                <w:sz w:val="18"/>
                <w:szCs w:val="18"/>
              </w:rPr>
              <w:t>Mode 0</w:t>
            </w:r>
            <w:r w:rsidR="003717A9" w:rsidRPr="00F72106">
              <w:rPr>
                <w:b/>
                <w:bCs/>
                <w:sz w:val="18"/>
                <w:szCs w:val="18"/>
              </w:rPr>
              <w:t xml:space="preserve"> - Volllastbetrieb</w:t>
            </w:r>
          </w:p>
        </w:tc>
        <w:tc>
          <w:tcPr>
            <w:tcW w:w="5334" w:type="dxa"/>
            <w:gridSpan w:val="8"/>
            <w:shd w:val="clear" w:color="auto" w:fill="auto"/>
            <w:vAlign w:val="center"/>
          </w:tcPr>
          <w:p w14:paraId="1408EF0E" w14:textId="77777777" w:rsidR="00814CD5" w:rsidRPr="00F72106" w:rsidRDefault="003717A9" w:rsidP="00187CFE">
            <w:pPr>
              <w:spacing w:line="312" w:lineRule="auto"/>
              <w:jc w:val="center"/>
              <w:rPr>
                <w:b/>
                <w:bCs/>
                <w:sz w:val="18"/>
                <w:szCs w:val="18"/>
              </w:rPr>
            </w:pPr>
            <w:r w:rsidRPr="00F72106">
              <w:rPr>
                <w:b/>
                <w:bCs/>
                <w:sz w:val="18"/>
                <w:szCs w:val="18"/>
              </w:rPr>
              <w:t>Oktav-Schallleistungspegel</w:t>
            </w:r>
          </w:p>
        </w:tc>
      </w:tr>
      <w:tr w:rsidR="00F72106" w:rsidRPr="00F72106" w14:paraId="19AECF8E" w14:textId="77777777" w:rsidTr="00083771">
        <w:trPr>
          <w:jc w:val="center"/>
        </w:trPr>
        <w:tc>
          <w:tcPr>
            <w:tcW w:w="1127" w:type="dxa"/>
            <w:vMerge w:val="restart"/>
            <w:vAlign w:val="center"/>
          </w:tcPr>
          <w:p w14:paraId="491B4823" w14:textId="77777777" w:rsidR="00814CD5" w:rsidRPr="00F72106" w:rsidRDefault="00814CD5" w:rsidP="00FA7C6F">
            <w:pPr>
              <w:spacing w:line="312" w:lineRule="auto"/>
              <w:jc w:val="center"/>
              <w:rPr>
                <w:b/>
                <w:sz w:val="18"/>
                <w:szCs w:val="18"/>
              </w:rPr>
            </w:pPr>
            <w:r w:rsidRPr="00F72106">
              <w:rPr>
                <w:b/>
                <w:sz w:val="18"/>
                <w:szCs w:val="18"/>
              </w:rPr>
              <w:t>WEA</w:t>
            </w:r>
          </w:p>
        </w:tc>
        <w:tc>
          <w:tcPr>
            <w:tcW w:w="1528" w:type="dxa"/>
            <w:vMerge w:val="restart"/>
            <w:shd w:val="clear" w:color="auto" w:fill="auto"/>
            <w:vAlign w:val="center"/>
          </w:tcPr>
          <w:p w14:paraId="36AB352A" w14:textId="77777777" w:rsidR="00814CD5" w:rsidRPr="00F72106" w:rsidRDefault="00814CD5" w:rsidP="00FA7C6F">
            <w:pPr>
              <w:spacing w:line="312" w:lineRule="auto"/>
              <w:jc w:val="center"/>
              <w:rPr>
                <w:b/>
                <w:sz w:val="18"/>
                <w:szCs w:val="18"/>
              </w:rPr>
            </w:pPr>
            <w:r w:rsidRPr="00F72106">
              <w:rPr>
                <w:b/>
                <w:sz w:val="18"/>
                <w:szCs w:val="18"/>
              </w:rPr>
              <w:t>Spektrums-bezeichnung</w:t>
            </w:r>
          </w:p>
        </w:tc>
        <w:tc>
          <w:tcPr>
            <w:tcW w:w="1073" w:type="dxa"/>
            <w:vMerge w:val="restart"/>
            <w:vAlign w:val="center"/>
          </w:tcPr>
          <w:p w14:paraId="61236CEA" w14:textId="77777777" w:rsidR="00814CD5" w:rsidRPr="00F72106" w:rsidRDefault="00814CD5" w:rsidP="00FA7C6F">
            <w:pPr>
              <w:spacing w:line="312" w:lineRule="auto"/>
              <w:jc w:val="center"/>
              <w:rPr>
                <w:b/>
                <w:sz w:val="18"/>
                <w:szCs w:val="18"/>
              </w:rPr>
            </w:pPr>
            <w:r w:rsidRPr="00F72106">
              <w:rPr>
                <w:b/>
                <w:sz w:val="18"/>
                <w:szCs w:val="18"/>
              </w:rPr>
              <w:t>Summen</w:t>
            </w:r>
            <w:r w:rsidR="003717A9" w:rsidRPr="00F72106">
              <w:rPr>
                <w:b/>
                <w:sz w:val="18"/>
                <w:szCs w:val="18"/>
              </w:rPr>
              <w:t>-</w:t>
            </w:r>
            <w:r w:rsidRPr="00F72106">
              <w:rPr>
                <w:b/>
                <w:sz w:val="18"/>
                <w:szCs w:val="18"/>
              </w:rPr>
              <w:t>pegel</w:t>
            </w:r>
          </w:p>
        </w:tc>
        <w:tc>
          <w:tcPr>
            <w:tcW w:w="5334" w:type="dxa"/>
            <w:gridSpan w:val="8"/>
            <w:shd w:val="clear" w:color="auto" w:fill="auto"/>
            <w:vAlign w:val="center"/>
          </w:tcPr>
          <w:p w14:paraId="271632FD" w14:textId="77777777" w:rsidR="00814CD5" w:rsidRPr="00F72106" w:rsidRDefault="00814CD5" w:rsidP="00FA7C6F">
            <w:pPr>
              <w:spacing w:line="312" w:lineRule="auto"/>
              <w:jc w:val="center"/>
              <w:rPr>
                <w:b/>
                <w:sz w:val="18"/>
                <w:szCs w:val="18"/>
              </w:rPr>
            </w:pPr>
            <w:r w:rsidRPr="00F72106">
              <w:rPr>
                <w:b/>
                <w:sz w:val="18"/>
                <w:szCs w:val="18"/>
              </w:rPr>
              <w:t>Frequenz [Hz]</w:t>
            </w:r>
          </w:p>
        </w:tc>
      </w:tr>
      <w:tr w:rsidR="00F72106" w:rsidRPr="00F72106" w14:paraId="1A0F7CA9" w14:textId="77777777" w:rsidTr="00083771">
        <w:trPr>
          <w:jc w:val="center"/>
        </w:trPr>
        <w:tc>
          <w:tcPr>
            <w:tcW w:w="1127" w:type="dxa"/>
            <w:vMerge/>
            <w:vAlign w:val="center"/>
          </w:tcPr>
          <w:p w14:paraId="625D448A" w14:textId="77777777" w:rsidR="00814CD5" w:rsidRPr="00F72106" w:rsidRDefault="00814CD5" w:rsidP="00FA7C6F">
            <w:pPr>
              <w:spacing w:line="312" w:lineRule="auto"/>
              <w:jc w:val="center"/>
              <w:rPr>
                <w:sz w:val="18"/>
                <w:szCs w:val="18"/>
              </w:rPr>
            </w:pPr>
          </w:p>
        </w:tc>
        <w:tc>
          <w:tcPr>
            <w:tcW w:w="1528" w:type="dxa"/>
            <w:vMerge/>
            <w:shd w:val="clear" w:color="auto" w:fill="auto"/>
            <w:vAlign w:val="center"/>
          </w:tcPr>
          <w:p w14:paraId="2F1B46B0" w14:textId="77777777" w:rsidR="00814CD5" w:rsidRPr="00F72106" w:rsidRDefault="00814CD5" w:rsidP="00FA7C6F">
            <w:pPr>
              <w:spacing w:line="312" w:lineRule="auto"/>
              <w:jc w:val="center"/>
              <w:rPr>
                <w:sz w:val="18"/>
                <w:szCs w:val="18"/>
              </w:rPr>
            </w:pPr>
          </w:p>
        </w:tc>
        <w:tc>
          <w:tcPr>
            <w:tcW w:w="1073" w:type="dxa"/>
            <w:vMerge/>
            <w:vAlign w:val="center"/>
          </w:tcPr>
          <w:p w14:paraId="44739EA3" w14:textId="77777777" w:rsidR="00814CD5" w:rsidRPr="00F72106" w:rsidRDefault="00814CD5" w:rsidP="00FA7C6F">
            <w:pPr>
              <w:spacing w:line="312" w:lineRule="auto"/>
              <w:jc w:val="center"/>
              <w:rPr>
                <w:sz w:val="18"/>
                <w:szCs w:val="18"/>
              </w:rPr>
            </w:pPr>
          </w:p>
        </w:tc>
        <w:tc>
          <w:tcPr>
            <w:tcW w:w="656" w:type="dxa"/>
            <w:shd w:val="clear" w:color="auto" w:fill="auto"/>
            <w:vAlign w:val="center"/>
          </w:tcPr>
          <w:p w14:paraId="22999EBF" w14:textId="77777777" w:rsidR="00814CD5" w:rsidRPr="00F72106" w:rsidRDefault="00814CD5" w:rsidP="00FA7C6F">
            <w:pPr>
              <w:spacing w:line="312" w:lineRule="auto"/>
              <w:jc w:val="center"/>
              <w:rPr>
                <w:b/>
                <w:sz w:val="18"/>
                <w:szCs w:val="18"/>
              </w:rPr>
            </w:pPr>
            <w:r w:rsidRPr="00F72106">
              <w:rPr>
                <w:b/>
                <w:sz w:val="18"/>
                <w:szCs w:val="18"/>
              </w:rPr>
              <w:t>63</w:t>
            </w:r>
          </w:p>
        </w:tc>
        <w:tc>
          <w:tcPr>
            <w:tcW w:w="657" w:type="dxa"/>
            <w:shd w:val="clear" w:color="auto" w:fill="auto"/>
            <w:vAlign w:val="center"/>
          </w:tcPr>
          <w:p w14:paraId="7A6BBC75" w14:textId="77777777" w:rsidR="00814CD5" w:rsidRPr="00F72106" w:rsidRDefault="00814CD5" w:rsidP="00FA7C6F">
            <w:pPr>
              <w:spacing w:line="312" w:lineRule="auto"/>
              <w:jc w:val="center"/>
              <w:rPr>
                <w:b/>
                <w:sz w:val="18"/>
                <w:szCs w:val="18"/>
              </w:rPr>
            </w:pPr>
            <w:r w:rsidRPr="00F72106">
              <w:rPr>
                <w:b/>
                <w:sz w:val="18"/>
                <w:szCs w:val="18"/>
              </w:rPr>
              <w:t>125</w:t>
            </w:r>
          </w:p>
        </w:tc>
        <w:tc>
          <w:tcPr>
            <w:tcW w:w="674" w:type="dxa"/>
            <w:shd w:val="clear" w:color="auto" w:fill="auto"/>
            <w:vAlign w:val="center"/>
          </w:tcPr>
          <w:p w14:paraId="1229C1C1" w14:textId="77777777" w:rsidR="00814CD5" w:rsidRPr="00F72106" w:rsidRDefault="00814CD5" w:rsidP="00FA7C6F">
            <w:pPr>
              <w:spacing w:line="312" w:lineRule="auto"/>
              <w:jc w:val="center"/>
              <w:rPr>
                <w:b/>
                <w:sz w:val="18"/>
                <w:szCs w:val="18"/>
              </w:rPr>
            </w:pPr>
            <w:r w:rsidRPr="00F72106">
              <w:rPr>
                <w:b/>
                <w:sz w:val="18"/>
                <w:szCs w:val="18"/>
              </w:rPr>
              <w:t>250</w:t>
            </w:r>
          </w:p>
        </w:tc>
        <w:tc>
          <w:tcPr>
            <w:tcW w:w="674" w:type="dxa"/>
            <w:shd w:val="clear" w:color="auto" w:fill="auto"/>
            <w:vAlign w:val="center"/>
          </w:tcPr>
          <w:p w14:paraId="66FAB64B" w14:textId="77777777" w:rsidR="00814CD5" w:rsidRPr="00F72106" w:rsidRDefault="00814CD5" w:rsidP="00FA7C6F">
            <w:pPr>
              <w:spacing w:line="312" w:lineRule="auto"/>
              <w:jc w:val="center"/>
              <w:rPr>
                <w:b/>
                <w:sz w:val="18"/>
                <w:szCs w:val="18"/>
              </w:rPr>
            </w:pPr>
            <w:r w:rsidRPr="00F72106">
              <w:rPr>
                <w:b/>
                <w:sz w:val="18"/>
                <w:szCs w:val="18"/>
              </w:rPr>
              <w:t>500</w:t>
            </w:r>
          </w:p>
        </w:tc>
        <w:tc>
          <w:tcPr>
            <w:tcW w:w="674" w:type="dxa"/>
            <w:shd w:val="clear" w:color="auto" w:fill="auto"/>
            <w:vAlign w:val="center"/>
          </w:tcPr>
          <w:p w14:paraId="3B304964" w14:textId="77777777" w:rsidR="00814CD5" w:rsidRPr="00F72106" w:rsidRDefault="00814CD5" w:rsidP="00FA7C6F">
            <w:pPr>
              <w:spacing w:line="312" w:lineRule="auto"/>
              <w:jc w:val="center"/>
              <w:rPr>
                <w:b/>
                <w:sz w:val="18"/>
                <w:szCs w:val="18"/>
              </w:rPr>
            </w:pPr>
            <w:r w:rsidRPr="00F72106">
              <w:rPr>
                <w:b/>
                <w:sz w:val="18"/>
                <w:szCs w:val="18"/>
              </w:rPr>
              <w:t>1000</w:t>
            </w:r>
          </w:p>
        </w:tc>
        <w:tc>
          <w:tcPr>
            <w:tcW w:w="667" w:type="dxa"/>
            <w:shd w:val="clear" w:color="auto" w:fill="auto"/>
            <w:vAlign w:val="center"/>
          </w:tcPr>
          <w:p w14:paraId="467C5B9E" w14:textId="77777777" w:rsidR="00814CD5" w:rsidRPr="00F72106" w:rsidRDefault="00814CD5" w:rsidP="00FA7C6F">
            <w:pPr>
              <w:spacing w:line="312" w:lineRule="auto"/>
              <w:jc w:val="center"/>
              <w:rPr>
                <w:b/>
                <w:sz w:val="18"/>
                <w:szCs w:val="18"/>
              </w:rPr>
            </w:pPr>
            <w:r w:rsidRPr="00F72106">
              <w:rPr>
                <w:b/>
                <w:sz w:val="18"/>
                <w:szCs w:val="18"/>
              </w:rPr>
              <w:t>2000</w:t>
            </w:r>
          </w:p>
        </w:tc>
        <w:tc>
          <w:tcPr>
            <w:tcW w:w="666" w:type="dxa"/>
            <w:shd w:val="clear" w:color="auto" w:fill="auto"/>
            <w:vAlign w:val="center"/>
          </w:tcPr>
          <w:p w14:paraId="2BD39185" w14:textId="77777777" w:rsidR="00814CD5" w:rsidRPr="00F72106" w:rsidRDefault="00814CD5" w:rsidP="00FA7C6F">
            <w:pPr>
              <w:spacing w:line="312" w:lineRule="auto"/>
              <w:jc w:val="center"/>
              <w:rPr>
                <w:b/>
                <w:sz w:val="18"/>
                <w:szCs w:val="18"/>
              </w:rPr>
            </w:pPr>
            <w:r w:rsidRPr="00F72106">
              <w:rPr>
                <w:b/>
                <w:sz w:val="18"/>
                <w:szCs w:val="18"/>
              </w:rPr>
              <w:t>4000</w:t>
            </w:r>
          </w:p>
        </w:tc>
        <w:tc>
          <w:tcPr>
            <w:tcW w:w="666" w:type="dxa"/>
            <w:shd w:val="clear" w:color="auto" w:fill="auto"/>
            <w:vAlign w:val="center"/>
          </w:tcPr>
          <w:p w14:paraId="6E825BFA" w14:textId="77777777" w:rsidR="00814CD5" w:rsidRPr="00F72106" w:rsidRDefault="00814CD5" w:rsidP="00FA7C6F">
            <w:pPr>
              <w:spacing w:line="312" w:lineRule="auto"/>
              <w:jc w:val="center"/>
              <w:rPr>
                <w:b/>
                <w:sz w:val="18"/>
                <w:szCs w:val="18"/>
              </w:rPr>
            </w:pPr>
            <w:r w:rsidRPr="00F72106">
              <w:rPr>
                <w:b/>
                <w:sz w:val="18"/>
                <w:szCs w:val="18"/>
              </w:rPr>
              <w:t>8000</w:t>
            </w:r>
          </w:p>
        </w:tc>
      </w:tr>
      <w:tr w:rsidR="00F72106" w:rsidRPr="00F72106" w14:paraId="63D11A0F" w14:textId="77777777" w:rsidTr="00083771">
        <w:trPr>
          <w:jc w:val="center"/>
        </w:trPr>
        <w:tc>
          <w:tcPr>
            <w:tcW w:w="1127" w:type="dxa"/>
            <w:vMerge w:val="restart"/>
            <w:vAlign w:val="center"/>
          </w:tcPr>
          <w:p w14:paraId="5F2E162A" w14:textId="756071AC" w:rsidR="003717A9" w:rsidRPr="00F72106" w:rsidRDefault="003717A9" w:rsidP="00FA7C6F">
            <w:pPr>
              <w:spacing w:line="312" w:lineRule="auto"/>
              <w:jc w:val="center"/>
              <w:rPr>
                <w:sz w:val="18"/>
                <w:szCs w:val="20"/>
              </w:rPr>
            </w:pPr>
            <w:r w:rsidRPr="00F72106">
              <w:rPr>
                <w:sz w:val="18"/>
                <w:szCs w:val="20"/>
              </w:rPr>
              <w:t>WEA</w:t>
            </w:r>
            <w:r w:rsidR="00625135" w:rsidRPr="00F72106">
              <w:rPr>
                <w:sz w:val="18"/>
                <w:szCs w:val="20"/>
              </w:rPr>
              <w:t xml:space="preserve"> </w:t>
            </w:r>
            <w:r w:rsidR="004B05B9" w:rsidRPr="00F72106">
              <w:rPr>
                <w:sz w:val="18"/>
                <w:szCs w:val="20"/>
              </w:rPr>
              <w:t>1-</w:t>
            </w:r>
            <w:r w:rsidR="00F72106" w:rsidRPr="00F72106">
              <w:rPr>
                <w:sz w:val="18"/>
                <w:szCs w:val="20"/>
              </w:rPr>
              <w:t>3</w:t>
            </w:r>
          </w:p>
          <w:p w14:paraId="061540FF" w14:textId="77777777" w:rsidR="004B05B9" w:rsidRPr="00F72106" w:rsidRDefault="004B05B9" w:rsidP="00FA7C6F">
            <w:pPr>
              <w:spacing w:line="312" w:lineRule="auto"/>
              <w:jc w:val="center"/>
              <w:rPr>
                <w:sz w:val="18"/>
                <w:szCs w:val="20"/>
              </w:rPr>
            </w:pPr>
            <w:r w:rsidRPr="00F72106">
              <w:rPr>
                <w:sz w:val="18"/>
                <w:szCs w:val="20"/>
              </w:rPr>
              <w:t>(6–22 Uhr)</w:t>
            </w:r>
          </w:p>
          <w:p w14:paraId="43BC9AE1" w14:textId="6B90902D" w:rsidR="003717A9" w:rsidRPr="00F72106" w:rsidRDefault="003717A9" w:rsidP="00FA7C6F">
            <w:pPr>
              <w:spacing w:line="312" w:lineRule="auto"/>
              <w:jc w:val="center"/>
              <w:rPr>
                <w:sz w:val="18"/>
                <w:szCs w:val="20"/>
              </w:rPr>
            </w:pPr>
          </w:p>
        </w:tc>
        <w:tc>
          <w:tcPr>
            <w:tcW w:w="1528" w:type="dxa"/>
            <w:shd w:val="clear" w:color="auto" w:fill="auto"/>
            <w:vAlign w:val="center"/>
          </w:tcPr>
          <w:p w14:paraId="358E73FE" w14:textId="77777777" w:rsidR="003717A9" w:rsidRPr="00F72106" w:rsidRDefault="003717A9" w:rsidP="00FA7C6F">
            <w:pPr>
              <w:spacing w:line="312" w:lineRule="auto"/>
              <w:jc w:val="center"/>
              <w:rPr>
                <w:sz w:val="18"/>
                <w:szCs w:val="18"/>
              </w:rPr>
            </w:pPr>
            <w:r w:rsidRPr="00F72106">
              <w:rPr>
                <w:sz w:val="18"/>
                <w:szCs w:val="18"/>
              </w:rPr>
              <w:t>L</w:t>
            </w:r>
            <w:r w:rsidRPr="00F72106">
              <w:rPr>
                <w:sz w:val="18"/>
                <w:szCs w:val="18"/>
                <w:vertAlign w:val="subscript"/>
              </w:rPr>
              <w:t xml:space="preserve">W,Okt </w:t>
            </w:r>
            <w:r w:rsidRPr="00F72106">
              <w:rPr>
                <w:sz w:val="18"/>
                <w:szCs w:val="18"/>
              </w:rPr>
              <w:t>[dB(A)]</w:t>
            </w:r>
          </w:p>
        </w:tc>
        <w:tc>
          <w:tcPr>
            <w:tcW w:w="1073" w:type="dxa"/>
            <w:vAlign w:val="center"/>
          </w:tcPr>
          <w:p w14:paraId="3504B157" w14:textId="23005164" w:rsidR="003717A9" w:rsidRPr="00F72106" w:rsidRDefault="00F72106" w:rsidP="00FA7C6F">
            <w:pPr>
              <w:spacing w:line="312" w:lineRule="auto"/>
              <w:jc w:val="center"/>
              <w:rPr>
                <w:sz w:val="18"/>
                <w:szCs w:val="18"/>
              </w:rPr>
            </w:pPr>
            <w:r w:rsidRPr="00F72106">
              <w:rPr>
                <w:sz w:val="18"/>
                <w:szCs w:val="18"/>
              </w:rPr>
              <w:t>105,6</w:t>
            </w:r>
          </w:p>
        </w:tc>
        <w:tc>
          <w:tcPr>
            <w:tcW w:w="656" w:type="dxa"/>
            <w:shd w:val="clear" w:color="auto" w:fill="auto"/>
            <w:vAlign w:val="center"/>
          </w:tcPr>
          <w:p w14:paraId="101416D3" w14:textId="26485DAF" w:rsidR="003717A9" w:rsidRPr="00F72106" w:rsidRDefault="00F72106" w:rsidP="00FA7C6F">
            <w:pPr>
              <w:spacing w:line="312" w:lineRule="auto"/>
              <w:jc w:val="center"/>
              <w:rPr>
                <w:sz w:val="18"/>
                <w:szCs w:val="18"/>
              </w:rPr>
            </w:pPr>
            <w:r w:rsidRPr="00F72106">
              <w:rPr>
                <w:sz w:val="18"/>
                <w:szCs w:val="18"/>
              </w:rPr>
              <w:t>87,3</w:t>
            </w:r>
          </w:p>
        </w:tc>
        <w:tc>
          <w:tcPr>
            <w:tcW w:w="657" w:type="dxa"/>
            <w:shd w:val="clear" w:color="auto" w:fill="auto"/>
            <w:vAlign w:val="center"/>
          </w:tcPr>
          <w:p w14:paraId="6DBC4350" w14:textId="2339AD97" w:rsidR="003717A9" w:rsidRPr="00F72106" w:rsidRDefault="00F72106" w:rsidP="00FA7C6F">
            <w:pPr>
              <w:spacing w:line="312" w:lineRule="auto"/>
              <w:jc w:val="center"/>
              <w:rPr>
                <w:sz w:val="18"/>
                <w:szCs w:val="18"/>
              </w:rPr>
            </w:pPr>
            <w:r w:rsidRPr="00F72106">
              <w:rPr>
                <w:sz w:val="18"/>
                <w:szCs w:val="18"/>
              </w:rPr>
              <w:t>93,5</w:t>
            </w:r>
          </w:p>
        </w:tc>
        <w:tc>
          <w:tcPr>
            <w:tcW w:w="674" w:type="dxa"/>
            <w:shd w:val="clear" w:color="auto" w:fill="auto"/>
            <w:vAlign w:val="center"/>
          </w:tcPr>
          <w:p w14:paraId="6A6F49C6" w14:textId="48107B1F" w:rsidR="003717A9" w:rsidRPr="00F72106" w:rsidRDefault="00F72106" w:rsidP="00FA7C6F">
            <w:pPr>
              <w:spacing w:line="312" w:lineRule="auto"/>
              <w:jc w:val="center"/>
              <w:rPr>
                <w:sz w:val="18"/>
                <w:szCs w:val="18"/>
              </w:rPr>
            </w:pPr>
            <w:r w:rsidRPr="00F72106">
              <w:rPr>
                <w:sz w:val="18"/>
                <w:szCs w:val="18"/>
              </w:rPr>
              <w:t>97,2</w:t>
            </w:r>
          </w:p>
        </w:tc>
        <w:tc>
          <w:tcPr>
            <w:tcW w:w="674" w:type="dxa"/>
            <w:shd w:val="clear" w:color="auto" w:fill="auto"/>
            <w:vAlign w:val="center"/>
          </w:tcPr>
          <w:p w14:paraId="4A6E188E" w14:textId="47F4880B" w:rsidR="003717A9" w:rsidRPr="00F72106" w:rsidRDefault="00F72106" w:rsidP="00FA7C6F">
            <w:pPr>
              <w:spacing w:line="312" w:lineRule="auto"/>
              <w:jc w:val="center"/>
              <w:rPr>
                <w:sz w:val="18"/>
                <w:szCs w:val="18"/>
              </w:rPr>
            </w:pPr>
            <w:r w:rsidRPr="00F72106">
              <w:rPr>
                <w:sz w:val="18"/>
                <w:szCs w:val="18"/>
              </w:rPr>
              <w:t>99,8</w:t>
            </w:r>
          </w:p>
        </w:tc>
        <w:tc>
          <w:tcPr>
            <w:tcW w:w="674" w:type="dxa"/>
            <w:shd w:val="clear" w:color="auto" w:fill="auto"/>
            <w:vAlign w:val="center"/>
          </w:tcPr>
          <w:p w14:paraId="7CB0E170" w14:textId="4341FE8F" w:rsidR="003717A9" w:rsidRPr="00F72106" w:rsidRDefault="00F72106" w:rsidP="00FA7C6F">
            <w:pPr>
              <w:spacing w:line="312" w:lineRule="auto"/>
              <w:jc w:val="center"/>
              <w:rPr>
                <w:sz w:val="18"/>
                <w:szCs w:val="18"/>
              </w:rPr>
            </w:pPr>
            <w:r w:rsidRPr="00F72106">
              <w:rPr>
                <w:sz w:val="18"/>
                <w:szCs w:val="18"/>
              </w:rPr>
              <w:t>100,5</w:t>
            </w:r>
          </w:p>
        </w:tc>
        <w:tc>
          <w:tcPr>
            <w:tcW w:w="667" w:type="dxa"/>
            <w:shd w:val="clear" w:color="auto" w:fill="auto"/>
            <w:vAlign w:val="center"/>
          </w:tcPr>
          <w:p w14:paraId="28C58E6F" w14:textId="619901A6" w:rsidR="003717A9" w:rsidRPr="00F72106" w:rsidRDefault="00F72106" w:rsidP="00FA7C6F">
            <w:pPr>
              <w:spacing w:line="312" w:lineRule="auto"/>
              <w:jc w:val="center"/>
              <w:rPr>
                <w:sz w:val="18"/>
                <w:szCs w:val="18"/>
              </w:rPr>
            </w:pPr>
            <w:r w:rsidRPr="00F72106">
              <w:rPr>
                <w:sz w:val="18"/>
                <w:szCs w:val="18"/>
              </w:rPr>
              <w:t>98,0</w:t>
            </w:r>
          </w:p>
        </w:tc>
        <w:tc>
          <w:tcPr>
            <w:tcW w:w="666" w:type="dxa"/>
            <w:shd w:val="clear" w:color="auto" w:fill="auto"/>
            <w:vAlign w:val="center"/>
          </w:tcPr>
          <w:p w14:paraId="3DF5FED5" w14:textId="6412E8FC" w:rsidR="003717A9" w:rsidRPr="00F72106" w:rsidRDefault="00F72106" w:rsidP="00FA7C6F">
            <w:pPr>
              <w:spacing w:line="312" w:lineRule="auto"/>
              <w:jc w:val="center"/>
              <w:rPr>
                <w:sz w:val="18"/>
                <w:szCs w:val="18"/>
              </w:rPr>
            </w:pPr>
            <w:r w:rsidRPr="00F72106">
              <w:rPr>
                <w:sz w:val="18"/>
                <w:szCs w:val="18"/>
              </w:rPr>
              <w:t>90,4</w:t>
            </w:r>
          </w:p>
        </w:tc>
        <w:tc>
          <w:tcPr>
            <w:tcW w:w="666" w:type="dxa"/>
            <w:shd w:val="clear" w:color="auto" w:fill="auto"/>
            <w:vAlign w:val="center"/>
          </w:tcPr>
          <w:p w14:paraId="213E084C" w14:textId="7885DF04" w:rsidR="003717A9" w:rsidRPr="00F72106" w:rsidRDefault="00F72106" w:rsidP="00FA7C6F">
            <w:pPr>
              <w:spacing w:line="312" w:lineRule="auto"/>
              <w:jc w:val="center"/>
              <w:rPr>
                <w:sz w:val="18"/>
                <w:szCs w:val="18"/>
              </w:rPr>
            </w:pPr>
            <w:r w:rsidRPr="00F72106">
              <w:rPr>
                <w:sz w:val="18"/>
                <w:szCs w:val="18"/>
              </w:rPr>
              <w:t>82,4</w:t>
            </w:r>
          </w:p>
        </w:tc>
      </w:tr>
      <w:tr w:rsidR="00F72106" w:rsidRPr="00F72106" w14:paraId="7AFE3006" w14:textId="77777777" w:rsidTr="00083771">
        <w:trPr>
          <w:jc w:val="center"/>
        </w:trPr>
        <w:tc>
          <w:tcPr>
            <w:tcW w:w="1127" w:type="dxa"/>
            <w:vMerge/>
            <w:vAlign w:val="center"/>
          </w:tcPr>
          <w:p w14:paraId="67E1921B" w14:textId="77777777" w:rsidR="003717A9" w:rsidRPr="00F72106" w:rsidRDefault="003717A9" w:rsidP="00FA7C6F">
            <w:pPr>
              <w:spacing w:line="312" w:lineRule="auto"/>
              <w:jc w:val="center"/>
              <w:rPr>
                <w:sz w:val="18"/>
                <w:szCs w:val="18"/>
              </w:rPr>
            </w:pPr>
          </w:p>
        </w:tc>
        <w:tc>
          <w:tcPr>
            <w:tcW w:w="7935" w:type="dxa"/>
            <w:gridSpan w:val="10"/>
            <w:shd w:val="clear" w:color="auto" w:fill="auto"/>
            <w:vAlign w:val="center"/>
          </w:tcPr>
          <w:p w14:paraId="53AEFBC9" w14:textId="77777777" w:rsidR="003717A9" w:rsidRPr="00F72106" w:rsidRDefault="003717A9" w:rsidP="00FA7C6F">
            <w:pPr>
              <w:spacing w:line="312" w:lineRule="auto"/>
              <w:jc w:val="center"/>
              <w:rPr>
                <w:sz w:val="18"/>
                <w:szCs w:val="18"/>
              </w:rPr>
            </w:pPr>
            <w:r w:rsidRPr="00F72106">
              <w:rPr>
                <w:sz w:val="18"/>
                <w:szCs w:val="18"/>
              </w:rPr>
              <w:t xml:space="preserve">berücksichtigte Unsicherheiten:    </w:t>
            </w:r>
            <w:proofErr w:type="spellStart"/>
            <w:r w:rsidRPr="00F72106">
              <w:rPr>
                <w:sz w:val="18"/>
                <w:szCs w:val="18"/>
              </w:rPr>
              <w:t>σ</w:t>
            </w:r>
            <w:r w:rsidRPr="00F72106">
              <w:rPr>
                <w:sz w:val="18"/>
                <w:szCs w:val="18"/>
                <w:vertAlign w:val="subscript"/>
              </w:rPr>
              <w:t>R</w:t>
            </w:r>
            <w:proofErr w:type="spellEnd"/>
            <w:r w:rsidRPr="00F72106">
              <w:rPr>
                <w:sz w:val="18"/>
                <w:szCs w:val="18"/>
              </w:rPr>
              <w:t xml:space="preserve">= 0,5    </w:t>
            </w:r>
            <w:proofErr w:type="spellStart"/>
            <w:r w:rsidRPr="00F72106">
              <w:rPr>
                <w:sz w:val="18"/>
                <w:szCs w:val="18"/>
              </w:rPr>
              <w:t>σ</w:t>
            </w:r>
            <w:r w:rsidRPr="00F72106">
              <w:rPr>
                <w:sz w:val="18"/>
                <w:szCs w:val="18"/>
                <w:vertAlign w:val="subscript"/>
              </w:rPr>
              <w:t>P</w:t>
            </w:r>
            <w:proofErr w:type="spellEnd"/>
            <w:r w:rsidRPr="00F72106">
              <w:rPr>
                <w:sz w:val="18"/>
                <w:szCs w:val="18"/>
              </w:rPr>
              <w:t xml:space="preserve">= 1,2    </w:t>
            </w:r>
            <w:proofErr w:type="spellStart"/>
            <w:r w:rsidRPr="00F72106">
              <w:rPr>
                <w:sz w:val="18"/>
                <w:szCs w:val="18"/>
              </w:rPr>
              <w:t>σ</w:t>
            </w:r>
            <w:r w:rsidRPr="00F72106">
              <w:rPr>
                <w:sz w:val="18"/>
                <w:szCs w:val="18"/>
                <w:vertAlign w:val="subscript"/>
              </w:rPr>
              <w:t>Prog</w:t>
            </w:r>
            <w:proofErr w:type="spellEnd"/>
            <w:r w:rsidRPr="00F72106">
              <w:rPr>
                <w:sz w:val="18"/>
                <w:szCs w:val="18"/>
              </w:rPr>
              <w:t>= 1,0</w:t>
            </w:r>
          </w:p>
        </w:tc>
      </w:tr>
      <w:tr w:rsidR="00F72106" w:rsidRPr="00F72106" w14:paraId="129E7743" w14:textId="77777777" w:rsidTr="00083771">
        <w:trPr>
          <w:jc w:val="center"/>
        </w:trPr>
        <w:tc>
          <w:tcPr>
            <w:tcW w:w="1127" w:type="dxa"/>
            <w:vMerge/>
            <w:vAlign w:val="center"/>
          </w:tcPr>
          <w:p w14:paraId="04854680" w14:textId="77777777" w:rsidR="00F72106" w:rsidRPr="00F72106" w:rsidRDefault="00F72106" w:rsidP="00F72106">
            <w:pPr>
              <w:spacing w:line="312" w:lineRule="auto"/>
              <w:jc w:val="center"/>
              <w:rPr>
                <w:sz w:val="18"/>
                <w:szCs w:val="18"/>
              </w:rPr>
            </w:pPr>
          </w:p>
        </w:tc>
        <w:tc>
          <w:tcPr>
            <w:tcW w:w="1528" w:type="dxa"/>
            <w:shd w:val="clear" w:color="auto" w:fill="auto"/>
            <w:vAlign w:val="center"/>
          </w:tcPr>
          <w:p w14:paraId="07EE5AC5" w14:textId="77777777" w:rsidR="00F72106" w:rsidRPr="00F72106" w:rsidRDefault="00F72106" w:rsidP="00F72106">
            <w:pPr>
              <w:spacing w:line="312" w:lineRule="auto"/>
              <w:jc w:val="center"/>
              <w:rPr>
                <w:sz w:val="18"/>
                <w:szCs w:val="18"/>
              </w:rPr>
            </w:pPr>
            <w:r w:rsidRPr="00F72106">
              <w:rPr>
                <w:sz w:val="18"/>
                <w:szCs w:val="18"/>
              </w:rPr>
              <w:t>L</w:t>
            </w:r>
            <w:r w:rsidRPr="00F72106">
              <w:rPr>
                <w:sz w:val="18"/>
                <w:szCs w:val="18"/>
                <w:vertAlign w:val="subscript"/>
              </w:rPr>
              <w:t>e,max,Okt</w:t>
            </w:r>
            <w:r w:rsidRPr="00F72106">
              <w:rPr>
                <w:sz w:val="18"/>
                <w:szCs w:val="18"/>
              </w:rPr>
              <w:t xml:space="preserve"> [dB(A)]</w:t>
            </w:r>
          </w:p>
        </w:tc>
        <w:tc>
          <w:tcPr>
            <w:tcW w:w="1073" w:type="dxa"/>
            <w:vAlign w:val="center"/>
          </w:tcPr>
          <w:p w14:paraId="5E1CE8DE" w14:textId="555D9A21" w:rsidR="00F72106" w:rsidRPr="00F72106" w:rsidRDefault="00F72106" w:rsidP="00F72106">
            <w:pPr>
              <w:spacing w:line="312" w:lineRule="auto"/>
              <w:jc w:val="center"/>
              <w:rPr>
                <w:sz w:val="18"/>
                <w:szCs w:val="18"/>
              </w:rPr>
            </w:pPr>
            <w:r w:rsidRPr="00F72106">
              <w:rPr>
                <w:sz w:val="18"/>
                <w:szCs w:val="18"/>
              </w:rPr>
              <w:t>107,3</w:t>
            </w:r>
          </w:p>
        </w:tc>
        <w:tc>
          <w:tcPr>
            <w:tcW w:w="656" w:type="dxa"/>
            <w:shd w:val="clear" w:color="auto" w:fill="auto"/>
            <w:vAlign w:val="center"/>
          </w:tcPr>
          <w:p w14:paraId="161E7A6C" w14:textId="5C3C6256" w:rsidR="00F72106" w:rsidRPr="00F72106" w:rsidRDefault="00F72106" w:rsidP="00F72106">
            <w:pPr>
              <w:spacing w:line="312" w:lineRule="auto"/>
              <w:jc w:val="center"/>
              <w:rPr>
                <w:sz w:val="18"/>
                <w:szCs w:val="18"/>
              </w:rPr>
            </w:pPr>
            <w:r w:rsidRPr="00F72106">
              <w:rPr>
                <w:sz w:val="18"/>
                <w:szCs w:val="18"/>
              </w:rPr>
              <w:t>89,0</w:t>
            </w:r>
          </w:p>
        </w:tc>
        <w:tc>
          <w:tcPr>
            <w:tcW w:w="657" w:type="dxa"/>
            <w:shd w:val="clear" w:color="auto" w:fill="auto"/>
            <w:vAlign w:val="center"/>
          </w:tcPr>
          <w:p w14:paraId="2A4B38AF" w14:textId="139575F4" w:rsidR="00F72106" w:rsidRPr="00F72106" w:rsidRDefault="00F72106" w:rsidP="00F72106">
            <w:pPr>
              <w:spacing w:line="312" w:lineRule="auto"/>
              <w:jc w:val="center"/>
              <w:rPr>
                <w:sz w:val="18"/>
                <w:szCs w:val="18"/>
              </w:rPr>
            </w:pPr>
            <w:r w:rsidRPr="00F72106">
              <w:rPr>
                <w:sz w:val="18"/>
                <w:szCs w:val="18"/>
              </w:rPr>
              <w:t>95,2</w:t>
            </w:r>
          </w:p>
        </w:tc>
        <w:tc>
          <w:tcPr>
            <w:tcW w:w="674" w:type="dxa"/>
            <w:shd w:val="clear" w:color="auto" w:fill="auto"/>
            <w:vAlign w:val="center"/>
          </w:tcPr>
          <w:p w14:paraId="22CA54F0" w14:textId="67DADD04" w:rsidR="00F72106" w:rsidRPr="00F72106" w:rsidRDefault="00F72106" w:rsidP="00F72106">
            <w:pPr>
              <w:spacing w:line="312" w:lineRule="auto"/>
              <w:jc w:val="center"/>
              <w:rPr>
                <w:sz w:val="18"/>
                <w:szCs w:val="18"/>
              </w:rPr>
            </w:pPr>
            <w:r w:rsidRPr="00F72106">
              <w:rPr>
                <w:sz w:val="18"/>
                <w:szCs w:val="18"/>
              </w:rPr>
              <w:t>98,9</w:t>
            </w:r>
          </w:p>
        </w:tc>
        <w:tc>
          <w:tcPr>
            <w:tcW w:w="674" w:type="dxa"/>
            <w:shd w:val="clear" w:color="auto" w:fill="auto"/>
            <w:vAlign w:val="center"/>
          </w:tcPr>
          <w:p w14:paraId="472939FA" w14:textId="525DD851" w:rsidR="00F72106" w:rsidRPr="00F72106" w:rsidRDefault="00F72106" w:rsidP="00F72106">
            <w:pPr>
              <w:spacing w:line="312" w:lineRule="auto"/>
              <w:jc w:val="center"/>
              <w:rPr>
                <w:sz w:val="18"/>
                <w:szCs w:val="18"/>
              </w:rPr>
            </w:pPr>
            <w:r w:rsidRPr="00F72106">
              <w:rPr>
                <w:sz w:val="18"/>
                <w:szCs w:val="18"/>
              </w:rPr>
              <w:t>101,5</w:t>
            </w:r>
          </w:p>
        </w:tc>
        <w:tc>
          <w:tcPr>
            <w:tcW w:w="674" w:type="dxa"/>
            <w:shd w:val="clear" w:color="auto" w:fill="auto"/>
            <w:vAlign w:val="center"/>
          </w:tcPr>
          <w:p w14:paraId="13A20DE8" w14:textId="75406A8C" w:rsidR="00F72106" w:rsidRPr="00F72106" w:rsidRDefault="00F72106" w:rsidP="00F72106">
            <w:pPr>
              <w:spacing w:line="312" w:lineRule="auto"/>
              <w:jc w:val="center"/>
              <w:rPr>
                <w:sz w:val="18"/>
                <w:szCs w:val="18"/>
              </w:rPr>
            </w:pPr>
            <w:r w:rsidRPr="00F72106">
              <w:rPr>
                <w:sz w:val="18"/>
                <w:szCs w:val="18"/>
              </w:rPr>
              <w:t>102,2</w:t>
            </w:r>
          </w:p>
        </w:tc>
        <w:tc>
          <w:tcPr>
            <w:tcW w:w="667" w:type="dxa"/>
            <w:shd w:val="clear" w:color="auto" w:fill="auto"/>
            <w:vAlign w:val="center"/>
          </w:tcPr>
          <w:p w14:paraId="4AFC27D7" w14:textId="434475DE" w:rsidR="00F72106" w:rsidRPr="00F72106" w:rsidRDefault="00F72106" w:rsidP="00F72106">
            <w:pPr>
              <w:spacing w:line="312" w:lineRule="auto"/>
              <w:jc w:val="center"/>
              <w:rPr>
                <w:sz w:val="18"/>
                <w:szCs w:val="18"/>
              </w:rPr>
            </w:pPr>
            <w:r w:rsidRPr="00F72106">
              <w:rPr>
                <w:sz w:val="18"/>
                <w:szCs w:val="18"/>
              </w:rPr>
              <w:t>99,7</w:t>
            </w:r>
          </w:p>
        </w:tc>
        <w:tc>
          <w:tcPr>
            <w:tcW w:w="666" w:type="dxa"/>
            <w:shd w:val="clear" w:color="auto" w:fill="auto"/>
            <w:vAlign w:val="center"/>
          </w:tcPr>
          <w:p w14:paraId="4691438A" w14:textId="346AACFA" w:rsidR="00F72106" w:rsidRPr="00F72106" w:rsidRDefault="00F72106" w:rsidP="00F72106">
            <w:pPr>
              <w:spacing w:line="312" w:lineRule="auto"/>
              <w:jc w:val="center"/>
              <w:rPr>
                <w:sz w:val="18"/>
                <w:szCs w:val="18"/>
              </w:rPr>
            </w:pPr>
            <w:r w:rsidRPr="00F72106">
              <w:rPr>
                <w:sz w:val="18"/>
                <w:szCs w:val="18"/>
              </w:rPr>
              <w:t>92,1</w:t>
            </w:r>
          </w:p>
        </w:tc>
        <w:tc>
          <w:tcPr>
            <w:tcW w:w="666" w:type="dxa"/>
            <w:shd w:val="clear" w:color="auto" w:fill="auto"/>
            <w:vAlign w:val="center"/>
          </w:tcPr>
          <w:p w14:paraId="4DD8D634" w14:textId="7B7AB8CD" w:rsidR="00F72106" w:rsidRPr="00F72106" w:rsidRDefault="00F72106" w:rsidP="00F72106">
            <w:pPr>
              <w:spacing w:line="312" w:lineRule="auto"/>
              <w:jc w:val="center"/>
              <w:rPr>
                <w:sz w:val="18"/>
                <w:szCs w:val="18"/>
              </w:rPr>
            </w:pPr>
            <w:r w:rsidRPr="00F72106">
              <w:rPr>
                <w:sz w:val="18"/>
                <w:szCs w:val="18"/>
              </w:rPr>
              <w:t>84,1</w:t>
            </w:r>
          </w:p>
        </w:tc>
      </w:tr>
      <w:tr w:rsidR="00F72106" w:rsidRPr="00F72106" w14:paraId="67A146E2" w14:textId="77777777" w:rsidTr="00083771">
        <w:trPr>
          <w:jc w:val="center"/>
        </w:trPr>
        <w:tc>
          <w:tcPr>
            <w:tcW w:w="1127" w:type="dxa"/>
            <w:vMerge/>
            <w:vAlign w:val="center"/>
          </w:tcPr>
          <w:p w14:paraId="64520E2B" w14:textId="77777777" w:rsidR="00F72106" w:rsidRPr="00F72106" w:rsidRDefault="00F72106" w:rsidP="00F72106">
            <w:pPr>
              <w:spacing w:line="312" w:lineRule="auto"/>
              <w:jc w:val="center"/>
              <w:rPr>
                <w:sz w:val="18"/>
                <w:szCs w:val="18"/>
              </w:rPr>
            </w:pPr>
          </w:p>
        </w:tc>
        <w:tc>
          <w:tcPr>
            <w:tcW w:w="1528" w:type="dxa"/>
            <w:shd w:val="clear" w:color="auto" w:fill="auto"/>
            <w:vAlign w:val="center"/>
          </w:tcPr>
          <w:p w14:paraId="3AF676BE" w14:textId="77777777" w:rsidR="00F72106" w:rsidRPr="00F72106" w:rsidRDefault="00F72106" w:rsidP="00F72106">
            <w:pPr>
              <w:spacing w:line="312" w:lineRule="auto"/>
              <w:jc w:val="center"/>
              <w:rPr>
                <w:sz w:val="18"/>
                <w:szCs w:val="18"/>
              </w:rPr>
            </w:pPr>
            <w:r w:rsidRPr="00F72106">
              <w:rPr>
                <w:sz w:val="18"/>
                <w:szCs w:val="18"/>
              </w:rPr>
              <w:t>L</w:t>
            </w:r>
            <w:r w:rsidRPr="00F72106">
              <w:rPr>
                <w:sz w:val="18"/>
                <w:szCs w:val="18"/>
                <w:vertAlign w:val="subscript"/>
              </w:rPr>
              <w:t>o,Okt</w:t>
            </w:r>
            <w:r w:rsidRPr="00F72106">
              <w:rPr>
                <w:sz w:val="18"/>
                <w:szCs w:val="18"/>
              </w:rPr>
              <w:t xml:space="preserve"> [dB(A)]</w:t>
            </w:r>
          </w:p>
        </w:tc>
        <w:tc>
          <w:tcPr>
            <w:tcW w:w="1073" w:type="dxa"/>
            <w:vAlign w:val="center"/>
          </w:tcPr>
          <w:p w14:paraId="1C3618D0" w14:textId="0CBFCE66" w:rsidR="00F72106" w:rsidRPr="00F72106" w:rsidRDefault="00F72106" w:rsidP="00F72106">
            <w:pPr>
              <w:spacing w:line="312" w:lineRule="auto"/>
              <w:jc w:val="center"/>
              <w:rPr>
                <w:sz w:val="18"/>
                <w:szCs w:val="18"/>
              </w:rPr>
            </w:pPr>
            <w:r w:rsidRPr="00F72106">
              <w:rPr>
                <w:sz w:val="18"/>
                <w:szCs w:val="18"/>
              </w:rPr>
              <w:t>107,7</w:t>
            </w:r>
          </w:p>
        </w:tc>
        <w:tc>
          <w:tcPr>
            <w:tcW w:w="656" w:type="dxa"/>
            <w:shd w:val="clear" w:color="auto" w:fill="auto"/>
            <w:vAlign w:val="center"/>
          </w:tcPr>
          <w:p w14:paraId="6262A978" w14:textId="73EB9363" w:rsidR="00F72106" w:rsidRPr="00F72106" w:rsidRDefault="00F72106" w:rsidP="00F72106">
            <w:pPr>
              <w:spacing w:line="312" w:lineRule="auto"/>
              <w:jc w:val="center"/>
              <w:rPr>
                <w:sz w:val="18"/>
                <w:szCs w:val="18"/>
              </w:rPr>
            </w:pPr>
            <w:r w:rsidRPr="00F72106">
              <w:rPr>
                <w:sz w:val="18"/>
                <w:szCs w:val="18"/>
              </w:rPr>
              <w:t>89,4</w:t>
            </w:r>
          </w:p>
        </w:tc>
        <w:tc>
          <w:tcPr>
            <w:tcW w:w="657" w:type="dxa"/>
            <w:shd w:val="clear" w:color="auto" w:fill="auto"/>
            <w:vAlign w:val="center"/>
          </w:tcPr>
          <w:p w14:paraId="7E0C4C7D" w14:textId="4C6E4F5F" w:rsidR="00F72106" w:rsidRPr="00F72106" w:rsidRDefault="00F72106" w:rsidP="00F72106">
            <w:pPr>
              <w:spacing w:line="312" w:lineRule="auto"/>
              <w:jc w:val="center"/>
              <w:rPr>
                <w:sz w:val="18"/>
                <w:szCs w:val="18"/>
              </w:rPr>
            </w:pPr>
            <w:r w:rsidRPr="00F72106">
              <w:rPr>
                <w:sz w:val="18"/>
                <w:szCs w:val="18"/>
              </w:rPr>
              <w:t>95,6</w:t>
            </w:r>
          </w:p>
        </w:tc>
        <w:tc>
          <w:tcPr>
            <w:tcW w:w="674" w:type="dxa"/>
            <w:shd w:val="clear" w:color="auto" w:fill="auto"/>
            <w:vAlign w:val="center"/>
          </w:tcPr>
          <w:p w14:paraId="38DF46D4" w14:textId="3BCCE320" w:rsidR="00F72106" w:rsidRPr="00F72106" w:rsidRDefault="00F72106" w:rsidP="00F72106">
            <w:pPr>
              <w:spacing w:line="312" w:lineRule="auto"/>
              <w:jc w:val="center"/>
              <w:rPr>
                <w:sz w:val="18"/>
                <w:szCs w:val="18"/>
              </w:rPr>
            </w:pPr>
            <w:r w:rsidRPr="00F72106">
              <w:rPr>
                <w:sz w:val="18"/>
                <w:szCs w:val="18"/>
              </w:rPr>
              <w:t>99,3</w:t>
            </w:r>
          </w:p>
        </w:tc>
        <w:tc>
          <w:tcPr>
            <w:tcW w:w="674" w:type="dxa"/>
            <w:shd w:val="clear" w:color="auto" w:fill="auto"/>
            <w:vAlign w:val="center"/>
          </w:tcPr>
          <w:p w14:paraId="68AD10C0" w14:textId="49D63364" w:rsidR="00F72106" w:rsidRPr="00F72106" w:rsidRDefault="00F72106" w:rsidP="00F72106">
            <w:pPr>
              <w:spacing w:line="312" w:lineRule="auto"/>
              <w:jc w:val="center"/>
              <w:rPr>
                <w:sz w:val="18"/>
                <w:szCs w:val="18"/>
              </w:rPr>
            </w:pPr>
            <w:r w:rsidRPr="00F72106">
              <w:rPr>
                <w:sz w:val="18"/>
                <w:szCs w:val="18"/>
              </w:rPr>
              <w:t>101,9</w:t>
            </w:r>
          </w:p>
        </w:tc>
        <w:tc>
          <w:tcPr>
            <w:tcW w:w="674" w:type="dxa"/>
            <w:shd w:val="clear" w:color="auto" w:fill="auto"/>
            <w:vAlign w:val="center"/>
          </w:tcPr>
          <w:p w14:paraId="52687881" w14:textId="21F4714E" w:rsidR="00F72106" w:rsidRPr="00F72106" w:rsidRDefault="00F72106" w:rsidP="00F72106">
            <w:pPr>
              <w:spacing w:line="312" w:lineRule="auto"/>
              <w:jc w:val="center"/>
              <w:rPr>
                <w:sz w:val="18"/>
                <w:szCs w:val="18"/>
              </w:rPr>
            </w:pPr>
            <w:r w:rsidRPr="00F72106">
              <w:rPr>
                <w:sz w:val="18"/>
                <w:szCs w:val="18"/>
              </w:rPr>
              <w:t>102,6</w:t>
            </w:r>
          </w:p>
        </w:tc>
        <w:tc>
          <w:tcPr>
            <w:tcW w:w="667" w:type="dxa"/>
            <w:shd w:val="clear" w:color="auto" w:fill="auto"/>
            <w:vAlign w:val="center"/>
          </w:tcPr>
          <w:p w14:paraId="0CE3D624" w14:textId="1C4C7C88" w:rsidR="00F72106" w:rsidRPr="00F72106" w:rsidRDefault="00F72106" w:rsidP="00F72106">
            <w:pPr>
              <w:spacing w:line="312" w:lineRule="auto"/>
              <w:jc w:val="center"/>
              <w:rPr>
                <w:sz w:val="18"/>
                <w:szCs w:val="18"/>
              </w:rPr>
            </w:pPr>
            <w:r w:rsidRPr="00F72106">
              <w:rPr>
                <w:sz w:val="18"/>
                <w:szCs w:val="18"/>
              </w:rPr>
              <w:t>100,1</w:t>
            </w:r>
          </w:p>
        </w:tc>
        <w:tc>
          <w:tcPr>
            <w:tcW w:w="666" w:type="dxa"/>
            <w:shd w:val="clear" w:color="auto" w:fill="auto"/>
            <w:vAlign w:val="center"/>
          </w:tcPr>
          <w:p w14:paraId="1B9ADE6D" w14:textId="3448CADB" w:rsidR="00F72106" w:rsidRPr="00F72106" w:rsidRDefault="00F72106" w:rsidP="00F72106">
            <w:pPr>
              <w:spacing w:line="312" w:lineRule="auto"/>
              <w:jc w:val="center"/>
              <w:rPr>
                <w:sz w:val="18"/>
                <w:szCs w:val="18"/>
              </w:rPr>
            </w:pPr>
            <w:r w:rsidRPr="00F72106">
              <w:rPr>
                <w:sz w:val="18"/>
                <w:szCs w:val="18"/>
              </w:rPr>
              <w:t>92,5</w:t>
            </w:r>
          </w:p>
        </w:tc>
        <w:tc>
          <w:tcPr>
            <w:tcW w:w="666" w:type="dxa"/>
            <w:shd w:val="clear" w:color="auto" w:fill="auto"/>
            <w:vAlign w:val="center"/>
          </w:tcPr>
          <w:p w14:paraId="1F53A9AE" w14:textId="7BDA3D9B" w:rsidR="00F72106" w:rsidRPr="00F72106" w:rsidRDefault="00F72106" w:rsidP="00F72106">
            <w:pPr>
              <w:spacing w:line="312" w:lineRule="auto"/>
              <w:jc w:val="center"/>
              <w:rPr>
                <w:sz w:val="18"/>
                <w:szCs w:val="18"/>
              </w:rPr>
            </w:pPr>
            <w:r w:rsidRPr="00F72106">
              <w:rPr>
                <w:sz w:val="18"/>
                <w:szCs w:val="18"/>
              </w:rPr>
              <w:t>84,5</w:t>
            </w:r>
          </w:p>
        </w:tc>
      </w:tr>
    </w:tbl>
    <w:p w14:paraId="312941AA" w14:textId="0EEC4C7E" w:rsidR="00C02DDF" w:rsidRPr="000C771D" w:rsidRDefault="00083771" w:rsidP="00A8219F">
      <w:pPr>
        <w:spacing w:line="312" w:lineRule="auto"/>
        <w:jc w:val="both"/>
      </w:pPr>
      <w:r>
        <w:t xml:space="preserve">Quelle: </w:t>
      </w:r>
      <w:proofErr w:type="spellStart"/>
      <w:r>
        <w:t>Nordex</w:t>
      </w:r>
      <w:proofErr w:type="spellEnd"/>
      <w:r>
        <w:t xml:space="preserve"> Datenblatt</w:t>
      </w:r>
      <w:r w:rsidRPr="000C771D">
        <w:t xml:space="preserve"> Nr. F008_275_A19_IN</w:t>
      </w:r>
      <w:r>
        <w:t xml:space="preserve"> vom 14.07.2022</w:t>
      </w:r>
      <w:r w:rsidR="00B4367D">
        <w:t xml:space="preserve"> (Herstellerangabe)</w:t>
      </w:r>
    </w:p>
    <w:p w14:paraId="35BA4FA5" w14:textId="77777777" w:rsidR="00A8219F" w:rsidRPr="00DE0674" w:rsidRDefault="00A8219F" w:rsidP="00511613">
      <w:pPr>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2"/>
        <w:gridCol w:w="1075"/>
        <w:gridCol w:w="659"/>
        <w:gridCol w:w="660"/>
        <w:gridCol w:w="659"/>
        <w:gridCol w:w="660"/>
        <w:gridCol w:w="667"/>
        <w:gridCol w:w="667"/>
        <w:gridCol w:w="667"/>
        <w:gridCol w:w="667"/>
      </w:tblGrid>
      <w:tr w:rsidR="00DE0674" w:rsidRPr="00DE0674" w14:paraId="0DDE45EF" w14:textId="77777777" w:rsidTr="00B4367D">
        <w:trPr>
          <w:jc w:val="center"/>
        </w:trPr>
        <w:tc>
          <w:tcPr>
            <w:tcW w:w="3756" w:type="dxa"/>
            <w:gridSpan w:val="3"/>
            <w:shd w:val="clear" w:color="auto" w:fill="auto"/>
            <w:vAlign w:val="center"/>
          </w:tcPr>
          <w:p w14:paraId="478E2C55" w14:textId="77777777" w:rsidR="00187CFE" w:rsidRPr="00DE0674" w:rsidRDefault="00187CFE" w:rsidP="00083031">
            <w:pPr>
              <w:spacing w:line="312" w:lineRule="auto"/>
              <w:jc w:val="center"/>
              <w:rPr>
                <w:b/>
                <w:bCs/>
                <w:sz w:val="18"/>
                <w:szCs w:val="18"/>
              </w:rPr>
            </w:pPr>
            <w:r w:rsidRPr="00DE0674">
              <w:rPr>
                <w:b/>
                <w:bCs/>
                <w:sz w:val="18"/>
                <w:szCs w:val="18"/>
              </w:rPr>
              <w:t>Betriebsmodus:</w:t>
            </w:r>
          </w:p>
          <w:p w14:paraId="344785FB" w14:textId="18DB33D8" w:rsidR="00187CFE" w:rsidRPr="00DE0674" w:rsidRDefault="000C771D" w:rsidP="00187CFE">
            <w:pPr>
              <w:spacing w:line="312" w:lineRule="auto"/>
              <w:jc w:val="center"/>
              <w:rPr>
                <w:b/>
                <w:bCs/>
                <w:sz w:val="18"/>
                <w:szCs w:val="18"/>
              </w:rPr>
            </w:pPr>
            <w:r w:rsidRPr="00DE0674">
              <w:rPr>
                <w:b/>
                <w:bCs/>
                <w:sz w:val="18"/>
                <w:szCs w:val="18"/>
              </w:rPr>
              <w:t>Mode 9</w:t>
            </w:r>
            <w:r w:rsidR="00187CFE" w:rsidRPr="00DE0674">
              <w:rPr>
                <w:b/>
                <w:bCs/>
                <w:sz w:val="18"/>
                <w:szCs w:val="18"/>
              </w:rPr>
              <w:t xml:space="preserve"> – Geräuschoptimierter Modus</w:t>
            </w:r>
          </w:p>
        </w:tc>
        <w:tc>
          <w:tcPr>
            <w:tcW w:w="5306" w:type="dxa"/>
            <w:gridSpan w:val="8"/>
            <w:shd w:val="clear" w:color="auto" w:fill="auto"/>
            <w:vAlign w:val="center"/>
          </w:tcPr>
          <w:p w14:paraId="36EBC480" w14:textId="77777777" w:rsidR="00187CFE" w:rsidRPr="00DE0674" w:rsidRDefault="00187CFE" w:rsidP="00083031">
            <w:pPr>
              <w:spacing w:line="312" w:lineRule="auto"/>
              <w:jc w:val="center"/>
              <w:rPr>
                <w:b/>
                <w:bCs/>
                <w:sz w:val="18"/>
                <w:szCs w:val="18"/>
              </w:rPr>
            </w:pPr>
            <w:r w:rsidRPr="00DE0674">
              <w:rPr>
                <w:b/>
                <w:bCs/>
                <w:sz w:val="18"/>
                <w:szCs w:val="18"/>
              </w:rPr>
              <w:t>Oktav-Schallleistungspegel</w:t>
            </w:r>
          </w:p>
        </w:tc>
      </w:tr>
      <w:tr w:rsidR="00DE0674" w:rsidRPr="00DE0674" w14:paraId="35AD2993" w14:textId="77777777" w:rsidTr="00E3282A">
        <w:trPr>
          <w:jc w:val="center"/>
        </w:trPr>
        <w:tc>
          <w:tcPr>
            <w:tcW w:w="1129" w:type="dxa"/>
            <w:vMerge w:val="restart"/>
            <w:vAlign w:val="center"/>
          </w:tcPr>
          <w:p w14:paraId="232D96BA" w14:textId="77777777" w:rsidR="00187CFE" w:rsidRPr="00DE0674" w:rsidRDefault="00187CFE" w:rsidP="00083031">
            <w:pPr>
              <w:spacing w:line="312" w:lineRule="auto"/>
              <w:jc w:val="center"/>
              <w:rPr>
                <w:b/>
                <w:sz w:val="18"/>
                <w:szCs w:val="18"/>
              </w:rPr>
            </w:pPr>
            <w:r w:rsidRPr="00DE0674">
              <w:rPr>
                <w:b/>
                <w:sz w:val="18"/>
                <w:szCs w:val="18"/>
              </w:rPr>
              <w:t>WEA</w:t>
            </w:r>
          </w:p>
        </w:tc>
        <w:tc>
          <w:tcPr>
            <w:tcW w:w="1552" w:type="dxa"/>
            <w:vMerge w:val="restart"/>
            <w:shd w:val="clear" w:color="auto" w:fill="auto"/>
            <w:vAlign w:val="center"/>
          </w:tcPr>
          <w:p w14:paraId="26FC1A30" w14:textId="77777777" w:rsidR="00187CFE" w:rsidRPr="00DE0674" w:rsidRDefault="00187CFE" w:rsidP="00083031">
            <w:pPr>
              <w:spacing w:line="312" w:lineRule="auto"/>
              <w:jc w:val="center"/>
              <w:rPr>
                <w:b/>
                <w:sz w:val="18"/>
                <w:szCs w:val="18"/>
              </w:rPr>
            </w:pPr>
            <w:r w:rsidRPr="00DE0674">
              <w:rPr>
                <w:b/>
                <w:sz w:val="18"/>
                <w:szCs w:val="18"/>
              </w:rPr>
              <w:t>Spektrums-bezeichnung</w:t>
            </w:r>
          </w:p>
        </w:tc>
        <w:tc>
          <w:tcPr>
            <w:tcW w:w="1075" w:type="dxa"/>
            <w:vMerge w:val="restart"/>
            <w:vAlign w:val="center"/>
          </w:tcPr>
          <w:p w14:paraId="30857B41" w14:textId="77777777" w:rsidR="00187CFE" w:rsidRPr="00DE0674" w:rsidRDefault="00187CFE" w:rsidP="00083031">
            <w:pPr>
              <w:spacing w:line="312" w:lineRule="auto"/>
              <w:jc w:val="center"/>
              <w:rPr>
                <w:b/>
                <w:sz w:val="18"/>
                <w:szCs w:val="18"/>
              </w:rPr>
            </w:pPr>
            <w:r w:rsidRPr="00DE0674">
              <w:rPr>
                <w:b/>
                <w:sz w:val="18"/>
                <w:szCs w:val="18"/>
              </w:rPr>
              <w:t>Summen-pegel</w:t>
            </w:r>
          </w:p>
        </w:tc>
        <w:tc>
          <w:tcPr>
            <w:tcW w:w="5306" w:type="dxa"/>
            <w:gridSpan w:val="8"/>
            <w:shd w:val="clear" w:color="auto" w:fill="auto"/>
            <w:vAlign w:val="center"/>
          </w:tcPr>
          <w:p w14:paraId="0BD641F6" w14:textId="77777777" w:rsidR="00187CFE" w:rsidRPr="00DE0674" w:rsidRDefault="00187CFE" w:rsidP="00083031">
            <w:pPr>
              <w:spacing w:line="312" w:lineRule="auto"/>
              <w:jc w:val="center"/>
              <w:rPr>
                <w:b/>
                <w:sz w:val="18"/>
                <w:szCs w:val="18"/>
              </w:rPr>
            </w:pPr>
            <w:r w:rsidRPr="00DE0674">
              <w:rPr>
                <w:b/>
                <w:sz w:val="18"/>
                <w:szCs w:val="18"/>
              </w:rPr>
              <w:t>Frequenz [Hz]</w:t>
            </w:r>
          </w:p>
        </w:tc>
      </w:tr>
      <w:tr w:rsidR="00DE0674" w:rsidRPr="00DE0674" w14:paraId="1E86A09A" w14:textId="77777777" w:rsidTr="00E3282A">
        <w:trPr>
          <w:jc w:val="center"/>
        </w:trPr>
        <w:tc>
          <w:tcPr>
            <w:tcW w:w="1129" w:type="dxa"/>
            <w:vMerge/>
            <w:vAlign w:val="center"/>
          </w:tcPr>
          <w:p w14:paraId="4F20B083" w14:textId="77777777" w:rsidR="00187CFE" w:rsidRPr="00DE0674" w:rsidRDefault="00187CFE" w:rsidP="00083031">
            <w:pPr>
              <w:spacing w:line="312" w:lineRule="auto"/>
              <w:jc w:val="center"/>
              <w:rPr>
                <w:sz w:val="18"/>
                <w:szCs w:val="18"/>
              </w:rPr>
            </w:pPr>
          </w:p>
        </w:tc>
        <w:tc>
          <w:tcPr>
            <w:tcW w:w="1552" w:type="dxa"/>
            <w:vMerge/>
            <w:shd w:val="clear" w:color="auto" w:fill="auto"/>
            <w:vAlign w:val="center"/>
          </w:tcPr>
          <w:p w14:paraId="34206FB3" w14:textId="77777777" w:rsidR="00187CFE" w:rsidRPr="00DE0674" w:rsidRDefault="00187CFE" w:rsidP="00083031">
            <w:pPr>
              <w:spacing w:line="312" w:lineRule="auto"/>
              <w:jc w:val="center"/>
              <w:rPr>
                <w:sz w:val="18"/>
                <w:szCs w:val="18"/>
              </w:rPr>
            </w:pPr>
          </w:p>
        </w:tc>
        <w:tc>
          <w:tcPr>
            <w:tcW w:w="1075" w:type="dxa"/>
            <w:vMerge/>
            <w:vAlign w:val="center"/>
          </w:tcPr>
          <w:p w14:paraId="5B6A0543" w14:textId="77777777" w:rsidR="00187CFE" w:rsidRPr="00DE0674" w:rsidRDefault="00187CFE" w:rsidP="00083031">
            <w:pPr>
              <w:spacing w:line="312" w:lineRule="auto"/>
              <w:jc w:val="center"/>
              <w:rPr>
                <w:sz w:val="18"/>
                <w:szCs w:val="18"/>
              </w:rPr>
            </w:pPr>
          </w:p>
        </w:tc>
        <w:tc>
          <w:tcPr>
            <w:tcW w:w="659" w:type="dxa"/>
            <w:shd w:val="clear" w:color="auto" w:fill="auto"/>
            <w:vAlign w:val="center"/>
          </w:tcPr>
          <w:p w14:paraId="0D58B003" w14:textId="77777777" w:rsidR="00187CFE" w:rsidRPr="00DE0674" w:rsidRDefault="00187CFE" w:rsidP="00083031">
            <w:pPr>
              <w:spacing w:line="312" w:lineRule="auto"/>
              <w:jc w:val="center"/>
              <w:rPr>
                <w:b/>
                <w:sz w:val="18"/>
                <w:szCs w:val="18"/>
              </w:rPr>
            </w:pPr>
            <w:r w:rsidRPr="00DE0674">
              <w:rPr>
                <w:b/>
                <w:sz w:val="18"/>
                <w:szCs w:val="18"/>
              </w:rPr>
              <w:t>63</w:t>
            </w:r>
          </w:p>
        </w:tc>
        <w:tc>
          <w:tcPr>
            <w:tcW w:w="660" w:type="dxa"/>
            <w:shd w:val="clear" w:color="auto" w:fill="auto"/>
            <w:vAlign w:val="center"/>
          </w:tcPr>
          <w:p w14:paraId="1E65204F" w14:textId="77777777" w:rsidR="00187CFE" w:rsidRPr="00DE0674" w:rsidRDefault="00187CFE" w:rsidP="00083031">
            <w:pPr>
              <w:spacing w:line="312" w:lineRule="auto"/>
              <w:jc w:val="center"/>
              <w:rPr>
                <w:b/>
                <w:sz w:val="18"/>
                <w:szCs w:val="18"/>
              </w:rPr>
            </w:pPr>
            <w:r w:rsidRPr="00DE0674">
              <w:rPr>
                <w:b/>
                <w:sz w:val="18"/>
                <w:szCs w:val="18"/>
              </w:rPr>
              <w:t>125</w:t>
            </w:r>
          </w:p>
        </w:tc>
        <w:tc>
          <w:tcPr>
            <w:tcW w:w="659" w:type="dxa"/>
            <w:shd w:val="clear" w:color="auto" w:fill="auto"/>
            <w:vAlign w:val="center"/>
          </w:tcPr>
          <w:p w14:paraId="28953989" w14:textId="77777777" w:rsidR="00187CFE" w:rsidRPr="00DE0674" w:rsidRDefault="00187CFE" w:rsidP="00083031">
            <w:pPr>
              <w:spacing w:line="312" w:lineRule="auto"/>
              <w:jc w:val="center"/>
              <w:rPr>
                <w:b/>
                <w:sz w:val="18"/>
                <w:szCs w:val="18"/>
              </w:rPr>
            </w:pPr>
            <w:r w:rsidRPr="00DE0674">
              <w:rPr>
                <w:b/>
                <w:sz w:val="18"/>
                <w:szCs w:val="18"/>
              </w:rPr>
              <w:t>250</w:t>
            </w:r>
          </w:p>
        </w:tc>
        <w:tc>
          <w:tcPr>
            <w:tcW w:w="660" w:type="dxa"/>
            <w:shd w:val="clear" w:color="auto" w:fill="auto"/>
            <w:vAlign w:val="center"/>
          </w:tcPr>
          <w:p w14:paraId="7FCD1781" w14:textId="77777777" w:rsidR="00187CFE" w:rsidRPr="00DE0674" w:rsidRDefault="00187CFE" w:rsidP="00083031">
            <w:pPr>
              <w:spacing w:line="312" w:lineRule="auto"/>
              <w:jc w:val="center"/>
              <w:rPr>
                <w:b/>
                <w:sz w:val="18"/>
                <w:szCs w:val="18"/>
              </w:rPr>
            </w:pPr>
            <w:r w:rsidRPr="00DE0674">
              <w:rPr>
                <w:b/>
                <w:sz w:val="18"/>
                <w:szCs w:val="18"/>
              </w:rPr>
              <w:t>500</w:t>
            </w:r>
          </w:p>
        </w:tc>
        <w:tc>
          <w:tcPr>
            <w:tcW w:w="667" w:type="dxa"/>
            <w:shd w:val="clear" w:color="auto" w:fill="auto"/>
            <w:vAlign w:val="center"/>
          </w:tcPr>
          <w:p w14:paraId="7A0BAECA" w14:textId="77777777" w:rsidR="00187CFE" w:rsidRPr="00DE0674" w:rsidRDefault="00187CFE" w:rsidP="00083031">
            <w:pPr>
              <w:spacing w:line="312" w:lineRule="auto"/>
              <w:jc w:val="center"/>
              <w:rPr>
                <w:b/>
                <w:sz w:val="18"/>
                <w:szCs w:val="18"/>
              </w:rPr>
            </w:pPr>
            <w:r w:rsidRPr="00DE0674">
              <w:rPr>
                <w:b/>
                <w:sz w:val="18"/>
                <w:szCs w:val="18"/>
              </w:rPr>
              <w:t>1000</w:t>
            </w:r>
          </w:p>
        </w:tc>
        <w:tc>
          <w:tcPr>
            <w:tcW w:w="667" w:type="dxa"/>
            <w:shd w:val="clear" w:color="auto" w:fill="auto"/>
            <w:vAlign w:val="center"/>
          </w:tcPr>
          <w:p w14:paraId="2D3D7033" w14:textId="77777777" w:rsidR="00187CFE" w:rsidRPr="00DE0674" w:rsidRDefault="00187CFE" w:rsidP="00083031">
            <w:pPr>
              <w:spacing w:line="312" w:lineRule="auto"/>
              <w:jc w:val="center"/>
              <w:rPr>
                <w:b/>
                <w:sz w:val="18"/>
                <w:szCs w:val="18"/>
              </w:rPr>
            </w:pPr>
            <w:r w:rsidRPr="00DE0674">
              <w:rPr>
                <w:b/>
                <w:sz w:val="18"/>
                <w:szCs w:val="18"/>
              </w:rPr>
              <w:t>2000</w:t>
            </w:r>
          </w:p>
        </w:tc>
        <w:tc>
          <w:tcPr>
            <w:tcW w:w="667" w:type="dxa"/>
            <w:shd w:val="clear" w:color="auto" w:fill="auto"/>
            <w:vAlign w:val="center"/>
          </w:tcPr>
          <w:p w14:paraId="29060EE6" w14:textId="77777777" w:rsidR="00187CFE" w:rsidRPr="00DE0674" w:rsidRDefault="00187CFE" w:rsidP="00083031">
            <w:pPr>
              <w:spacing w:line="312" w:lineRule="auto"/>
              <w:jc w:val="center"/>
              <w:rPr>
                <w:b/>
                <w:sz w:val="18"/>
                <w:szCs w:val="18"/>
              </w:rPr>
            </w:pPr>
            <w:r w:rsidRPr="00DE0674">
              <w:rPr>
                <w:b/>
                <w:sz w:val="18"/>
                <w:szCs w:val="18"/>
              </w:rPr>
              <w:t>4000</w:t>
            </w:r>
          </w:p>
        </w:tc>
        <w:tc>
          <w:tcPr>
            <w:tcW w:w="667" w:type="dxa"/>
            <w:shd w:val="clear" w:color="auto" w:fill="auto"/>
            <w:vAlign w:val="center"/>
          </w:tcPr>
          <w:p w14:paraId="68765423" w14:textId="77777777" w:rsidR="00187CFE" w:rsidRPr="00DE0674" w:rsidRDefault="00187CFE" w:rsidP="00083031">
            <w:pPr>
              <w:spacing w:line="312" w:lineRule="auto"/>
              <w:jc w:val="center"/>
              <w:rPr>
                <w:b/>
                <w:sz w:val="18"/>
                <w:szCs w:val="18"/>
              </w:rPr>
            </w:pPr>
            <w:r w:rsidRPr="00DE0674">
              <w:rPr>
                <w:b/>
                <w:sz w:val="18"/>
                <w:szCs w:val="18"/>
              </w:rPr>
              <w:t>8000</w:t>
            </w:r>
          </w:p>
        </w:tc>
      </w:tr>
      <w:tr w:rsidR="00DE0674" w:rsidRPr="00DE0674" w14:paraId="44F903CD" w14:textId="77777777" w:rsidTr="00E3282A">
        <w:trPr>
          <w:jc w:val="center"/>
        </w:trPr>
        <w:tc>
          <w:tcPr>
            <w:tcW w:w="1129" w:type="dxa"/>
            <w:vMerge w:val="restart"/>
            <w:vAlign w:val="center"/>
          </w:tcPr>
          <w:p w14:paraId="31BB7C00" w14:textId="77777777" w:rsidR="00187CFE" w:rsidRDefault="00796DBB" w:rsidP="000C771D">
            <w:pPr>
              <w:spacing w:line="312" w:lineRule="auto"/>
              <w:jc w:val="center"/>
              <w:rPr>
                <w:sz w:val="18"/>
                <w:szCs w:val="20"/>
              </w:rPr>
            </w:pPr>
            <w:r w:rsidRPr="00DE0674">
              <w:rPr>
                <w:sz w:val="18"/>
                <w:szCs w:val="20"/>
              </w:rPr>
              <w:t xml:space="preserve">WEA </w:t>
            </w:r>
            <w:r w:rsidR="000C771D" w:rsidRPr="00DE0674">
              <w:rPr>
                <w:sz w:val="18"/>
                <w:szCs w:val="20"/>
              </w:rPr>
              <w:t>3</w:t>
            </w:r>
          </w:p>
          <w:p w14:paraId="2DCBFE47" w14:textId="7E983FF7" w:rsidR="005061DB" w:rsidRPr="00DE0674" w:rsidRDefault="005061DB" w:rsidP="000C771D">
            <w:pPr>
              <w:spacing w:line="312" w:lineRule="auto"/>
              <w:jc w:val="center"/>
              <w:rPr>
                <w:sz w:val="18"/>
                <w:szCs w:val="20"/>
              </w:rPr>
            </w:pPr>
            <w:r>
              <w:rPr>
                <w:sz w:val="18"/>
                <w:szCs w:val="20"/>
              </w:rPr>
              <w:t>(22-6 Uhr)</w:t>
            </w:r>
          </w:p>
        </w:tc>
        <w:tc>
          <w:tcPr>
            <w:tcW w:w="1552" w:type="dxa"/>
            <w:shd w:val="clear" w:color="auto" w:fill="auto"/>
            <w:vAlign w:val="center"/>
          </w:tcPr>
          <w:p w14:paraId="05E6A477" w14:textId="77777777" w:rsidR="00187CFE" w:rsidRPr="00DE0674" w:rsidRDefault="00187CFE" w:rsidP="00083031">
            <w:pPr>
              <w:spacing w:line="312" w:lineRule="auto"/>
              <w:jc w:val="center"/>
              <w:rPr>
                <w:sz w:val="18"/>
                <w:szCs w:val="18"/>
              </w:rPr>
            </w:pPr>
            <w:r w:rsidRPr="00DE0674">
              <w:rPr>
                <w:sz w:val="18"/>
                <w:szCs w:val="18"/>
              </w:rPr>
              <w:t>L</w:t>
            </w:r>
            <w:r w:rsidRPr="00DE0674">
              <w:rPr>
                <w:sz w:val="18"/>
                <w:szCs w:val="18"/>
                <w:vertAlign w:val="subscript"/>
              </w:rPr>
              <w:t xml:space="preserve">W,Okt </w:t>
            </w:r>
            <w:r w:rsidRPr="00DE0674">
              <w:rPr>
                <w:sz w:val="18"/>
                <w:szCs w:val="18"/>
              </w:rPr>
              <w:t>[dB(A)]</w:t>
            </w:r>
          </w:p>
        </w:tc>
        <w:tc>
          <w:tcPr>
            <w:tcW w:w="1075" w:type="dxa"/>
            <w:vAlign w:val="center"/>
          </w:tcPr>
          <w:p w14:paraId="7C402552" w14:textId="76EE352E" w:rsidR="00187CFE" w:rsidRPr="00DE0674" w:rsidRDefault="00DE0674" w:rsidP="00083031">
            <w:pPr>
              <w:spacing w:line="312" w:lineRule="auto"/>
              <w:jc w:val="center"/>
              <w:rPr>
                <w:sz w:val="18"/>
                <w:szCs w:val="18"/>
              </w:rPr>
            </w:pPr>
            <w:r w:rsidRPr="00DE0674">
              <w:rPr>
                <w:sz w:val="18"/>
                <w:szCs w:val="18"/>
              </w:rPr>
              <w:t>101,5</w:t>
            </w:r>
          </w:p>
        </w:tc>
        <w:tc>
          <w:tcPr>
            <w:tcW w:w="659" w:type="dxa"/>
            <w:shd w:val="clear" w:color="auto" w:fill="auto"/>
            <w:vAlign w:val="center"/>
          </w:tcPr>
          <w:p w14:paraId="43E4AE8E" w14:textId="7714A552" w:rsidR="00187CFE" w:rsidRPr="00DE0674" w:rsidRDefault="00DE0674" w:rsidP="00083031">
            <w:pPr>
              <w:spacing w:line="312" w:lineRule="auto"/>
              <w:jc w:val="center"/>
              <w:rPr>
                <w:sz w:val="18"/>
                <w:szCs w:val="18"/>
              </w:rPr>
            </w:pPr>
            <w:r w:rsidRPr="00DE0674">
              <w:rPr>
                <w:sz w:val="18"/>
                <w:szCs w:val="18"/>
              </w:rPr>
              <w:t>83,2</w:t>
            </w:r>
          </w:p>
        </w:tc>
        <w:tc>
          <w:tcPr>
            <w:tcW w:w="660" w:type="dxa"/>
            <w:shd w:val="clear" w:color="auto" w:fill="auto"/>
            <w:vAlign w:val="center"/>
          </w:tcPr>
          <w:p w14:paraId="3709497D" w14:textId="53C84963" w:rsidR="00187CFE" w:rsidRPr="00DE0674" w:rsidRDefault="00DE0674" w:rsidP="00083031">
            <w:pPr>
              <w:spacing w:line="312" w:lineRule="auto"/>
              <w:jc w:val="center"/>
              <w:rPr>
                <w:sz w:val="18"/>
                <w:szCs w:val="18"/>
              </w:rPr>
            </w:pPr>
            <w:r w:rsidRPr="00DE0674">
              <w:rPr>
                <w:sz w:val="18"/>
                <w:szCs w:val="18"/>
              </w:rPr>
              <w:t>89,4</w:t>
            </w:r>
          </w:p>
        </w:tc>
        <w:tc>
          <w:tcPr>
            <w:tcW w:w="659" w:type="dxa"/>
            <w:shd w:val="clear" w:color="auto" w:fill="auto"/>
            <w:vAlign w:val="center"/>
          </w:tcPr>
          <w:p w14:paraId="7A551A52" w14:textId="30EC88E6" w:rsidR="00187CFE" w:rsidRPr="00DE0674" w:rsidRDefault="00DE0674" w:rsidP="00083031">
            <w:pPr>
              <w:spacing w:line="312" w:lineRule="auto"/>
              <w:jc w:val="center"/>
              <w:rPr>
                <w:sz w:val="18"/>
                <w:szCs w:val="18"/>
              </w:rPr>
            </w:pPr>
            <w:r w:rsidRPr="00DE0674">
              <w:rPr>
                <w:sz w:val="18"/>
                <w:szCs w:val="18"/>
              </w:rPr>
              <w:t>93,1</w:t>
            </w:r>
          </w:p>
        </w:tc>
        <w:tc>
          <w:tcPr>
            <w:tcW w:w="660" w:type="dxa"/>
            <w:shd w:val="clear" w:color="auto" w:fill="auto"/>
            <w:vAlign w:val="center"/>
          </w:tcPr>
          <w:p w14:paraId="2DDFBACB" w14:textId="7EFEC0DD" w:rsidR="00187CFE" w:rsidRPr="00DE0674" w:rsidRDefault="00DE0674" w:rsidP="00083031">
            <w:pPr>
              <w:spacing w:line="312" w:lineRule="auto"/>
              <w:jc w:val="center"/>
              <w:rPr>
                <w:sz w:val="18"/>
                <w:szCs w:val="18"/>
              </w:rPr>
            </w:pPr>
            <w:r w:rsidRPr="00DE0674">
              <w:rPr>
                <w:sz w:val="18"/>
                <w:szCs w:val="18"/>
              </w:rPr>
              <w:t>95,7</w:t>
            </w:r>
          </w:p>
        </w:tc>
        <w:tc>
          <w:tcPr>
            <w:tcW w:w="667" w:type="dxa"/>
            <w:shd w:val="clear" w:color="auto" w:fill="auto"/>
            <w:vAlign w:val="center"/>
          </w:tcPr>
          <w:p w14:paraId="7B0DD316" w14:textId="7B01EBE0" w:rsidR="00187CFE" w:rsidRPr="00DE0674" w:rsidRDefault="00DE0674" w:rsidP="00083031">
            <w:pPr>
              <w:spacing w:line="312" w:lineRule="auto"/>
              <w:jc w:val="center"/>
              <w:rPr>
                <w:sz w:val="18"/>
                <w:szCs w:val="18"/>
              </w:rPr>
            </w:pPr>
            <w:r w:rsidRPr="00DE0674">
              <w:rPr>
                <w:sz w:val="18"/>
                <w:szCs w:val="18"/>
              </w:rPr>
              <w:t>96,4</w:t>
            </w:r>
          </w:p>
        </w:tc>
        <w:tc>
          <w:tcPr>
            <w:tcW w:w="667" w:type="dxa"/>
            <w:shd w:val="clear" w:color="auto" w:fill="auto"/>
            <w:vAlign w:val="center"/>
          </w:tcPr>
          <w:p w14:paraId="5C67EEEC" w14:textId="3D26690C" w:rsidR="00187CFE" w:rsidRPr="00DE0674" w:rsidRDefault="00DE0674" w:rsidP="00083031">
            <w:pPr>
              <w:spacing w:line="312" w:lineRule="auto"/>
              <w:jc w:val="center"/>
              <w:rPr>
                <w:sz w:val="18"/>
                <w:szCs w:val="18"/>
              </w:rPr>
            </w:pPr>
            <w:r w:rsidRPr="00DE0674">
              <w:rPr>
                <w:sz w:val="18"/>
                <w:szCs w:val="18"/>
              </w:rPr>
              <w:t>93,9</w:t>
            </w:r>
          </w:p>
        </w:tc>
        <w:tc>
          <w:tcPr>
            <w:tcW w:w="667" w:type="dxa"/>
            <w:shd w:val="clear" w:color="auto" w:fill="auto"/>
            <w:vAlign w:val="center"/>
          </w:tcPr>
          <w:p w14:paraId="1A45BE5C" w14:textId="3A565395" w:rsidR="00187CFE" w:rsidRPr="00DE0674" w:rsidRDefault="00DE0674" w:rsidP="00083031">
            <w:pPr>
              <w:spacing w:line="312" w:lineRule="auto"/>
              <w:jc w:val="center"/>
              <w:rPr>
                <w:sz w:val="18"/>
                <w:szCs w:val="18"/>
              </w:rPr>
            </w:pPr>
            <w:r w:rsidRPr="00DE0674">
              <w:rPr>
                <w:sz w:val="18"/>
                <w:szCs w:val="18"/>
              </w:rPr>
              <w:t>86,3</w:t>
            </w:r>
          </w:p>
        </w:tc>
        <w:tc>
          <w:tcPr>
            <w:tcW w:w="667" w:type="dxa"/>
            <w:shd w:val="clear" w:color="auto" w:fill="auto"/>
            <w:vAlign w:val="center"/>
          </w:tcPr>
          <w:p w14:paraId="00A4951C" w14:textId="5BD27033" w:rsidR="00187CFE" w:rsidRPr="00DE0674" w:rsidRDefault="00DE0674" w:rsidP="00083031">
            <w:pPr>
              <w:spacing w:line="312" w:lineRule="auto"/>
              <w:jc w:val="center"/>
              <w:rPr>
                <w:sz w:val="18"/>
                <w:szCs w:val="18"/>
              </w:rPr>
            </w:pPr>
            <w:r w:rsidRPr="00DE0674">
              <w:rPr>
                <w:sz w:val="18"/>
                <w:szCs w:val="18"/>
              </w:rPr>
              <w:t>78,3</w:t>
            </w:r>
          </w:p>
        </w:tc>
      </w:tr>
      <w:tr w:rsidR="00DE0674" w:rsidRPr="00DE0674" w14:paraId="0371F15B" w14:textId="77777777" w:rsidTr="00E3282A">
        <w:trPr>
          <w:jc w:val="center"/>
        </w:trPr>
        <w:tc>
          <w:tcPr>
            <w:tcW w:w="1129" w:type="dxa"/>
            <w:vMerge/>
            <w:vAlign w:val="center"/>
          </w:tcPr>
          <w:p w14:paraId="2013A4E5" w14:textId="77777777" w:rsidR="00187CFE" w:rsidRPr="00DE0674" w:rsidRDefault="00187CFE" w:rsidP="00083031">
            <w:pPr>
              <w:spacing w:line="312" w:lineRule="auto"/>
              <w:jc w:val="center"/>
              <w:rPr>
                <w:sz w:val="18"/>
                <w:szCs w:val="18"/>
              </w:rPr>
            </w:pPr>
          </w:p>
        </w:tc>
        <w:tc>
          <w:tcPr>
            <w:tcW w:w="7933" w:type="dxa"/>
            <w:gridSpan w:val="10"/>
            <w:shd w:val="clear" w:color="auto" w:fill="auto"/>
            <w:vAlign w:val="center"/>
          </w:tcPr>
          <w:p w14:paraId="2CA9A6D5" w14:textId="77777777" w:rsidR="00187CFE" w:rsidRPr="00DE0674" w:rsidRDefault="00187CFE" w:rsidP="00083031">
            <w:pPr>
              <w:spacing w:line="312" w:lineRule="auto"/>
              <w:jc w:val="center"/>
              <w:rPr>
                <w:sz w:val="18"/>
                <w:szCs w:val="18"/>
              </w:rPr>
            </w:pPr>
            <w:r w:rsidRPr="00DE0674">
              <w:rPr>
                <w:sz w:val="18"/>
                <w:szCs w:val="18"/>
              </w:rPr>
              <w:t xml:space="preserve">berücksichtigte Unsicherheiten:    </w:t>
            </w:r>
            <w:proofErr w:type="spellStart"/>
            <w:r w:rsidRPr="00DE0674">
              <w:rPr>
                <w:sz w:val="18"/>
                <w:szCs w:val="18"/>
              </w:rPr>
              <w:t>σ</w:t>
            </w:r>
            <w:r w:rsidRPr="00DE0674">
              <w:rPr>
                <w:sz w:val="18"/>
                <w:szCs w:val="18"/>
                <w:vertAlign w:val="subscript"/>
              </w:rPr>
              <w:t>R</w:t>
            </w:r>
            <w:proofErr w:type="spellEnd"/>
            <w:r w:rsidRPr="00DE0674">
              <w:rPr>
                <w:sz w:val="18"/>
                <w:szCs w:val="18"/>
              </w:rPr>
              <w:t xml:space="preserve">= 0,5    </w:t>
            </w:r>
            <w:proofErr w:type="spellStart"/>
            <w:r w:rsidRPr="00DE0674">
              <w:rPr>
                <w:sz w:val="18"/>
                <w:szCs w:val="18"/>
              </w:rPr>
              <w:t>σ</w:t>
            </w:r>
            <w:r w:rsidRPr="00DE0674">
              <w:rPr>
                <w:sz w:val="18"/>
                <w:szCs w:val="18"/>
                <w:vertAlign w:val="subscript"/>
              </w:rPr>
              <w:t>P</w:t>
            </w:r>
            <w:proofErr w:type="spellEnd"/>
            <w:r w:rsidRPr="00DE0674">
              <w:rPr>
                <w:sz w:val="18"/>
                <w:szCs w:val="18"/>
              </w:rPr>
              <w:t xml:space="preserve">= 1,2    </w:t>
            </w:r>
            <w:proofErr w:type="spellStart"/>
            <w:r w:rsidRPr="00DE0674">
              <w:rPr>
                <w:sz w:val="18"/>
                <w:szCs w:val="18"/>
              </w:rPr>
              <w:t>σ</w:t>
            </w:r>
            <w:r w:rsidRPr="00DE0674">
              <w:rPr>
                <w:sz w:val="18"/>
                <w:szCs w:val="18"/>
                <w:vertAlign w:val="subscript"/>
              </w:rPr>
              <w:t>Prog</w:t>
            </w:r>
            <w:proofErr w:type="spellEnd"/>
            <w:r w:rsidRPr="00DE0674">
              <w:rPr>
                <w:sz w:val="18"/>
                <w:szCs w:val="18"/>
              </w:rPr>
              <w:t>= 1,0</w:t>
            </w:r>
          </w:p>
        </w:tc>
      </w:tr>
      <w:tr w:rsidR="00DE0674" w:rsidRPr="00DE0674" w14:paraId="3506CCF1" w14:textId="77777777" w:rsidTr="00E3282A">
        <w:trPr>
          <w:jc w:val="center"/>
        </w:trPr>
        <w:tc>
          <w:tcPr>
            <w:tcW w:w="1129" w:type="dxa"/>
            <w:vMerge/>
            <w:vAlign w:val="center"/>
          </w:tcPr>
          <w:p w14:paraId="4544D779" w14:textId="77777777" w:rsidR="00187CFE" w:rsidRPr="00DE0674" w:rsidRDefault="00187CFE" w:rsidP="00083031">
            <w:pPr>
              <w:spacing w:line="312" w:lineRule="auto"/>
              <w:jc w:val="center"/>
              <w:rPr>
                <w:sz w:val="18"/>
                <w:szCs w:val="18"/>
              </w:rPr>
            </w:pPr>
          </w:p>
        </w:tc>
        <w:tc>
          <w:tcPr>
            <w:tcW w:w="1552" w:type="dxa"/>
            <w:shd w:val="clear" w:color="auto" w:fill="auto"/>
            <w:vAlign w:val="center"/>
          </w:tcPr>
          <w:p w14:paraId="7D0B0542" w14:textId="77777777" w:rsidR="00187CFE" w:rsidRPr="00DE0674" w:rsidRDefault="00187CFE" w:rsidP="00083031">
            <w:pPr>
              <w:spacing w:line="312" w:lineRule="auto"/>
              <w:jc w:val="center"/>
              <w:rPr>
                <w:sz w:val="18"/>
                <w:szCs w:val="18"/>
              </w:rPr>
            </w:pPr>
            <w:r w:rsidRPr="00DE0674">
              <w:rPr>
                <w:sz w:val="18"/>
                <w:szCs w:val="18"/>
              </w:rPr>
              <w:t>L</w:t>
            </w:r>
            <w:r w:rsidRPr="00DE0674">
              <w:rPr>
                <w:sz w:val="18"/>
                <w:szCs w:val="18"/>
                <w:vertAlign w:val="subscript"/>
              </w:rPr>
              <w:t>e,max,Okt</w:t>
            </w:r>
            <w:r w:rsidRPr="00DE0674">
              <w:rPr>
                <w:sz w:val="18"/>
                <w:szCs w:val="18"/>
              </w:rPr>
              <w:t xml:space="preserve"> [dB(A)]</w:t>
            </w:r>
          </w:p>
        </w:tc>
        <w:tc>
          <w:tcPr>
            <w:tcW w:w="1075" w:type="dxa"/>
            <w:vAlign w:val="center"/>
          </w:tcPr>
          <w:p w14:paraId="2AD5C00C" w14:textId="3DEDFDCA" w:rsidR="00187CFE" w:rsidRPr="00DE0674" w:rsidRDefault="00DE0674" w:rsidP="00083031">
            <w:pPr>
              <w:spacing w:line="312" w:lineRule="auto"/>
              <w:jc w:val="center"/>
              <w:rPr>
                <w:sz w:val="18"/>
                <w:szCs w:val="18"/>
              </w:rPr>
            </w:pPr>
            <w:r w:rsidRPr="00DE0674">
              <w:rPr>
                <w:sz w:val="18"/>
                <w:szCs w:val="18"/>
              </w:rPr>
              <w:t>103,2</w:t>
            </w:r>
          </w:p>
        </w:tc>
        <w:tc>
          <w:tcPr>
            <w:tcW w:w="659" w:type="dxa"/>
            <w:shd w:val="clear" w:color="auto" w:fill="auto"/>
            <w:vAlign w:val="center"/>
          </w:tcPr>
          <w:p w14:paraId="653544A1" w14:textId="1FE717AA" w:rsidR="00187CFE" w:rsidRPr="00DE0674" w:rsidRDefault="00DE0674" w:rsidP="00083031">
            <w:pPr>
              <w:spacing w:line="312" w:lineRule="auto"/>
              <w:jc w:val="center"/>
              <w:rPr>
                <w:sz w:val="18"/>
                <w:szCs w:val="18"/>
              </w:rPr>
            </w:pPr>
            <w:r w:rsidRPr="00DE0674">
              <w:rPr>
                <w:sz w:val="18"/>
                <w:szCs w:val="18"/>
              </w:rPr>
              <w:t>84,9</w:t>
            </w:r>
          </w:p>
        </w:tc>
        <w:tc>
          <w:tcPr>
            <w:tcW w:w="660" w:type="dxa"/>
            <w:shd w:val="clear" w:color="auto" w:fill="auto"/>
            <w:vAlign w:val="center"/>
          </w:tcPr>
          <w:p w14:paraId="4796BE23" w14:textId="7903F31C" w:rsidR="00187CFE" w:rsidRPr="00DE0674" w:rsidRDefault="00DE0674" w:rsidP="00083031">
            <w:pPr>
              <w:spacing w:line="312" w:lineRule="auto"/>
              <w:jc w:val="center"/>
              <w:rPr>
                <w:sz w:val="18"/>
                <w:szCs w:val="18"/>
              </w:rPr>
            </w:pPr>
            <w:r w:rsidRPr="00DE0674">
              <w:rPr>
                <w:sz w:val="18"/>
                <w:szCs w:val="18"/>
              </w:rPr>
              <w:t>91,1</w:t>
            </w:r>
          </w:p>
        </w:tc>
        <w:tc>
          <w:tcPr>
            <w:tcW w:w="659" w:type="dxa"/>
            <w:shd w:val="clear" w:color="auto" w:fill="auto"/>
            <w:vAlign w:val="center"/>
          </w:tcPr>
          <w:p w14:paraId="7D0922E5" w14:textId="52AE42F5" w:rsidR="00187CFE" w:rsidRPr="00DE0674" w:rsidRDefault="00DE0674" w:rsidP="00083031">
            <w:pPr>
              <w:spacing w:line="312" w:lineRule="auto"/>
              <w:jc w:val="center"/>
              <w:rPr>
                <w:sz w:val="18"/>
                <w:szCs w:val="18"/>
              </w:rPr>
            </w:pPr>
            <w:r w:rsidRPr="00DE0674">
              <w:rPr>
                <w:sz w:val="18"/>
                <w:szCs w:val="18"/>
              </w:rPr>
              <w:t>94,8</w:t>
            </w:r>
          </w:p>
        </w:tc>
        <w:tc>
          <w:tcPr>
            <w:tcW w:w="660" w:type="dxa"/>
            <w:shd w:val="clear" w:color="auto" w:fill="auto"/>
            <w:vAlign w:val="center"/>
          </w:tcPr>
          <w:p w14:paraId="628CB7C1" w14:textId="544B3875" w:rsidR="00187CFE" w:rsidRPr="00DE0674" w:rsidRDefault="00DE0674" w:rsidP="00083031">
            <w:pPr>
              <w:spacing w:line="312" w:lineRule="auto"/>
              <w:jc w:val="center"/>
              <w:rPr>
                <w:sz w:val="18"/>
                <w:szCs w:val="18"/>
              </w:rPr>
            </w:pPr>
            <w:r w:rsidRPr="00DE0674">
              <w:rPr>
                <w:sz w:val="18"/>
                <w:szCs w:val="18"/>
              </w:rPr>
              <w:t>97,4</w:t>
            </w:r>
          </w:p>
        </w:tc>
        <w:tc>
          <w:tcPr>
            <w:tcW w:w="667" w:type="dxa"/>
            <w:shd w:val="clear" w:color="auto" w:fill="auto"/>
            <w:vAlign w:val="center"/>
          </w:tcPr>
          <w:p w14:paraId="4B725E06" w14:textId="59A10096" w:rsidR="00187CFE" w:rsidRPr="00DE0674" w:rsidRDefault="00DE0674" w:rsidP="00083031">
            <w:pPr>
              <w:spacing w:line="312" w:lineRule="auto"/>
              <w:jc w:val="center"/>
              <w:rPr>
                <w:sz w:val="18"/>
                <w:szCs w:val="18"/>
              </w:rPr>
            </w:pPr>
            <w:r w:rsidRPr="00DE0674">
              <w:rPr>
                <w:sz w:val="18"/>
                <w:szCs w:val="18"/>
              </w:rPr>
              <w:t>98,1</w:t>
            </w:r>
          </w:p>
        </w:tc>
        <w:tc>
          <w:tcPr>
            <w:tcW w:w="667" w:type="dxa"/>
            <w:shd w:val="clear" w:color="auto" w:fill="auto"/>
            <w:vAlign w:val="center"/>
          </w:tcPr>
          <w:p w14:paraId="7D8DF021" w14:textId="054411A0" w:rsidR="00187CFE" w:rsidRPr="00DE0674" w:rsidRDefault="00DE0674" w:rsidP="00083031">
            <w:pPr>
              <w:spacing w:line="312" w:lineRule="auto"/>
              <w:jc w:val="center"/>
              <w:rPr>
                <w:sz w:val="18"/>
                <w:szCs w:val="18"/>
              </w:rPr>
            </w:pPr>
            <w:r w:rsidRPr="00DE0674">
              <w:rPr>
                <w:sz w:val="18"/>
                <w:szCs w:val="18"/>
              </w:rPr>
              <w:t>95,6</w:t>
            </w:r>
          </w:p>
        </w:tc>
        <w:tc>
          <w:tcPr>
            <w:tcW w:w="667" w:type="dxa"/>
            <w:shd w:val="clear" w:color="auto" w:fill="auto"/>
            <w:vAlign w:val="center"/>
          </w:tcPr>
          <w:p w14:paraId="49422E07" w14:textId="20861078" w:rsidR="00187CFE" w:rsidRPr="00DE0674" w:rsidRDefault="00DE0674" w:rsidP="00083031">
            <w:pPr>
              <w:spacing w:line="312" w:lineRule="auto"/>
              <w:jc w:val="center"/>
              <w:rPr>
                <w:sz w:val="18"/>
                <w:szCs w:val="18"/>
              </w:rPr>
            </w:pPr>
            <w:r w:rsidRPr="00DE0674">
              <w:rPr>
                <w:sz w:val="18"/>
                <w:szCs w:val="18"/>
              </w:rPr>
              <w:t>88,0</w:t>
            </w:r>
          </w:p>
        </w:tc>
        <w:tc>
          <w:tcPr>
            <w:tcW w:w="667" w:type="dxa"/>
            <w:shd w:val="clear" w:color="auto" w:fill="auto"/>
            <w:vAlign w:val="center"/>
          </w:tcPr>
          <w:p w14:paraId="0AECAF1E" w14:textId="2BF79ABC" w:rsidR="00187CFE" w:rsidRPr="00DE0674" w:rsidRDefault="00DE0674" w:rsidP="00083031">
            <w:pPr>
              <w:spacing w:line="312" w:lineRule="auto"/>
              <w:jc w:val="center"/>
              <w:rPr>
                <w:sz w:val="18"/>
                <w:szCs w:val="18"/>
              </w:rPr>
            </w:pPr>
            <w:r w:rsidRPr="00DE0674">
              <w:rPr>
                <w:sz w:val="18"/>
                <w:szCs w:val="18"/>
              </w:rPr>
              <w:t>80,0</w:t>
            </w:r>
          </w:p>
        </w:tc>
      </w:tr>
      <w:tr w:rsidR="00DE0674" w:rsidRPr="00DE0674" w14:paraId="5DDC8DF3" w14:textId="77777777" w:rsidTr="00E3282A">
        <w:trPr>
          <w:jc w:val="center"/>
        </w:trPr>
        <w:tc>
          <w:tcPr>
            <w:tcW w:w="1129" w:type="dxa"/>
            <w:vMerge/>
            <w:vAlign w:val="center"/>
          </w:tcPr>
          <w:p w14:paraId="60F1187C" w14:textId="77777777" w:rsidR="00187CFE" w:rsidRPr="00DE0674" w:rsidRDefault="00187CFE" w:rsidP="00083031">
            <w:pPr>
              <w:spacing w:line="312" w:lineRule="auto"/>
              <w:jc w:val="center"/>
              <w:rPr>
                <w:sz w:val="18"/>
                <w:szCs w:val="18"/>
              </w:rPr>
            </w:pPr>
          </w:p>
        </w:tc>
        <w:tc>
          <w:tcPr>
            <w:tcW w:w="1552" w:type="dxa"/>
            <w:shd w:val="clear" w:color="auto" w:fill="auto"/>
            <w:vAlign w:val="center"/>
          </w:tcPr>
          <w:p w14:paraId="1C452C35" w14:textId="77777777" w:rsidR="00187CFE" w:rsidRPr="00DE0674" w:rsidRDefault="00187CFE" w:rsidP="00083031">
            <w:pPr>
              <w:spacing w:line="312" w:lineRule="auto"/>
              <w:jc w:val="center"/>
              <w:rPr>
                <w:sz w:val="18"/>
                <w:szCs w:val="18"/>
              </w:rPr>
            </w:pPr>
            <w:r w:rsidRPr="00DE0674">
              <w:rPr>
                <w:sz w:val="18"/>
                <w:szCs w:val="18"/>
              </w:rPr>
              <w:t>L</w:t>
            </w:r>
            <w:r w:rsidRPr="00DE0674">
              <w:rPr>
                <w:sz w:val="18"/>
                <w:szCs w:val="18"/>
                <w:vertAlign w:val="subscript"/>
              </w:rPr>
              <w:t>o,Okt</w:t>
            </w:r>
            <w:r w:rsidRPr="00DE0674">
              <w:rPr>
                <w:sz w:val="18"/>
                <w:szCs w:val="18"/>
              </w:rPr>
              <w:t xml:space="preserve"> [dB(A)]</w:t>
            </w:r>
          </w:p>
        </w:tc>
        <w:tc>
          <w:tcPr>
            <w:tcW w:w="1075" w:type="dxa"/>
            <w:vAlign w:val="center"/>
          </w:tcPr>
          <w:p w14:paraId="24BDBAF5" w14:textId="222C325C" w:rsidR="00187CFE" w:rsidRPr="00DE0674" w:rsidRDefault="00DE0674" w:rsidP="00083031">
            <w:pPr>
              <w:spacing w:line="312" w:lineRule="auto"/>
              <w:jc w:val="center"/>
              <w:rPr>
                <w:sz w:val="18"/>
                <w:szCs w:val="18"/>
              </w:rPr>
            </w:pPr>
            <w:r w:rsidRPr="00DE0674">
              <w:rPr>
                <w:sz w:val="18"/>
                <w:szCs w:val="18"/>
              </w:rPr>
              <w:t>103,6</w:t>
            </w:r>
          </w:p>
        </w:tc>
        <w:tc>
          <w:tcPr>
            <w:tcW w:w="659" w:type="dxa"/>
            <w:shd w:val="clear" w:color="auto" w:fill="auto"/>
            <w:vAlign w:val="center"/>
          </w:tcPr>
          <w:p w14:paraId="1DBA0A58" w14:textId="21F48101" w:rsidR="00187CFE" w:rsidRPr="00DE0674" w:rsidRDefault="00DE0674" w:rsidP="00083031">
            <w:pPr>
              <w:spacing w:line="312" w:lineRule="auto"/>
              <w:jc w:val="center"/>
              <w:rPr>
                <w:sz w:val="18"/>
                <w:szCs w:val="18"/>
              </w:rPr>
            </w:pPr>
            <w:r w:rsidRPr="00DE0674">
              <w:rPr>
                <w:sz w:val="18"/>
                <w:szCs w:val="18"/>
              </w:rPr>
              <w:t>85,3</w:t>
            </w:r>
          </w:p>
        </w:tc>
        <w:tc>
          <w:tcPr>
            <w:tcW w:w="660" w:type="dxa"/>
            <w:shd w:val="clear" w:color="auto" w:fill="auto"/>
            <w:vAlign w:val="center"/>
          </w:tcPr>
          <w:p w14:paraId="052B946F" w14:textId="1A567D64" w:rsidR="00187CFE" w:rsidRPr="00DE0674" w:rsidRDefault="00DE0674" w:rsidP="00083031">
            <w:pPr>
              <w:spacing w:line="312" w:lineRule="auto"/>
              <w:jc w:val="center"/>
              <w:rPr>
                <w:sz w:val="18"/>
                <w:szCs w:val="18"/>
              </w:rPr>
            </w:pPr>
            <w:r w:rsidRPr="00DE0674">
              <w:rPr>
                <w:sz w:val="18"/>
                <w:szCs w:val="18"/>
              </w:rPr>
              <w:t>91,5</w:t>
            </w:r>
          </w:p>
        </w:tc>
        <w:tc>
          <w:tcPr>
            <w:tcW w:w="659" w:type="dxa"/>
            <w:shd w:val="clear" w:color="auto" w:fill="auto"/>
            <w:vAlign w:val="center"/>
          </w:tcPr>
          <w:p w14:paraId="73EA1E38" w14:textId="50E4B8C5" w:rsidR="00187CFE" w:rsidRPr="00DE0674" w:rsidRDefault="00DE0674" w:rsidP="00083031">
            <w:pPr>
              <w:spacing w:line="312" w:lineRule="auto"/>
              <w:jc w:val="center"/>
              <w:rPr>
                <w:sz w:val="18"/>
                <w:szCs w:val="18"/>
              </w:rPr>
            </w:pPr>
            <w:r w:rsidRPr="00DE0674">
              <w:rPr>
                <w:sz w:val="18"/>
                <w:szCs w:val="18"/>
              </w:rPr>
              <w:t>95,2</w:t>
            </w:r>
          </w:p>
        </w:tc>
        <w:tc>
          <w:tcPr>
            <w:tcW w:w="660" w:type="dxa"/>
            <w:shd w:val="clear" w:color="auto" w:fill="auto"/>
            <w:vAlign w:val="center"/>
          </w:tcPr>
          <w:p w14:paraId="77963783" w14:textId="3C6E2CC3" w:rsidR="00187CFE" w:rsidRPr="00DE0674" w:rsidRDefault="00DE0674" w:rsidP="00083031">
            <w:pPr>
              <w:spacing w:line="312" w:lineRule="auto"/>
              <w:jc w:val="center"/>
              <w:rPr>
                <w:sz w:val="18"/>
                <w:szCs w:val="18"/>
              </w:rPr>
            </w:pPr>
            <w:r w:rsidRPr="00DE0674">
              <w:rPr>
                <w:sz w:val="18"/>
                <w:szCs w:val="18"/>
              </w:rPr>
              <w:t>97,8</w:t>
            </w:r>
          </w:p>
        </w:tc>
        <w:tc>
          <w:tcPr>
            <w:tcW w:w="667" w:type="dxa"/>
            <w:shd w:val="clear" w:color="auto" w:fill="auto"/>
            <w:vAlign w:val="center"/>
          </w:tcPr>
          <w:p w14:paraId="58DC8F74" w14:textId="72E73665" w:rsidR="00187CFE" w:rsidRPr="00DE0674" w:rsidRDefault="00DE0674" w:rsidP="00083031">
            <w:pPr>
              <w:spacing w:line="312" w:lineRule="auto"/>
              <w:jc w:val="center"/>
              <w:rPr>
                <w:sz w:val="18"/>
                <w:szCs w:val="18"/>
              </w:rPr>
            </w:pPr>
            <w:r w:rsidRPr="00DE0674">
              <w:rPr>
                <w:sz w:val="18"/>
                <w:szCs w:val="18"/>
              </w:rPr>
              <w:t>98,5</w:t>
            </w:r>
          </w:p>
        </w:tc>
        <w:tc>
          <w:tcPr>
            <w:tcW w:w="667" w:type="dxa"/>
            <w:shd w:val="clear" w:color="auto" w:fill="auto"/>
            <w:vAlign w:val="center"/>
          </w:tcPr>
          <w:p w14:paraId="20784084" w14:textId="2812C392" w:rsidR="00187CFE" w:rsidRPr="00DE0674" w:rsidRDefault="00DE0674" w:rsidP="00083031">
            <w:pPr>
              <w:spacing w:line="312" w:lineRule="auto"/>
              <w:jc w:val="center"/>
              <w:rPr>
                <w:sz w:val="18"/>
                <w:szCs w:val="18"/>
              </w:rPr>
            </w:pPr>
            <w:r w:rsidRPr="00DE0674">
              <w:rPr>
                <w:sz w:val="18"/>
                <w:szCs w:val="18"/>
              </w:rPr>
              <w:t>96,0</w:t>
            </w:r>
          </w:p>
        </w:tc>
        <w:tc>
          <w:tcPr>
            <w:tcW w:w="667" w:type="dxa"/>
            <w:shd w:val="clear" w:color="auto" w:fill="auto"/>
            <w:vAlign w:val="center"/>
          </w:tcPr>
          <w:p w14:paraId="404FC698" w14:textId="650D7678" w:rsidR="00187CFE" w:rsidRPr="00DE0674" w:rsidRDefault="00DE0674" w:rsidP="00083031">
            <w:pPr>
              <w:spacing w:line="312" w:lineRule="auto"/>
              <w:jc w:val="center"/>
              <w:rPr>
                <w:sz w:val="18"/>
                <w:szCs w:val="18"/>
              </w:rPr>
            </w:pPr>
            <w:r w:rsidRPr="00DE0674">
              <w:rPr>
                <w:sz w:val="18"/>
                <w:szCs w:val="18"/>
              </w:rPr>
              <w:t>88,4</w:t>
            </w:r>
          </w:p>
        </w:tc>
        <w:tc>
          <w:tcPr>
            <w:tcW w:w="667" w:type="dxa"/>
            <w:shd w:val="clear" w:color="auto" w:fill="auto"/>
            <w:vAlign w:val="center"/>
          </w:tcPr>
          <w:p w14:paraId="4F82895D" w14:textId="2D0B8A44" w:rsidR="00187CFE" w:rsidRPr="00DE0674" w:rsidRDefault="00DE0674" w:rsidP="00083031">
            <w:pPr>
              <w:spacing w:line="312" w:lineRule="auto"/>
              <w:jc w:val="center"/>
              <w:rPr>
                <w:sz w:val="18"/>
                <w:szCs w:val="18"/>
              </w:rPr>
            </w:pPr>
            <w:r w:rsidRPr="00DE0674">
              <w:rPr>
                <w:sz w:val="18"/>
                <w:szCs w:val="18"/>
              </w:rPr>
              <w:t>80,4</w:t>
            </w:r>
          </w:p>
        </w:tc>
      </w:tr>
    </w:tbl>
    <w:p w14:paraId="713E82F5" w14:textId="1C3D75AC" w:rsidR="00187CFE" w:rsidRDefault="00B4367D" w:rsidP="00511613">
      <w:pPr>
        <w:spacing w:line="312" w:lineRule="auto"/>
        <w:jc w:val="both"/>
      </w:pPr>
      <w:r>
        <w:t xml:space="preserve">Quelle: </w:t>
      </w:r>
      <w:proofErr w:type="spellStart"/>
      <w:r>
        <w:t>Nordex</w:t>
      </w:r>
      <w:proofErr w:type="spellEnd"/>
      <w:r>
        <w:t xml:space="preserve"> Datenblatt</w:t>
      </w:r>
      <w:r w:rsidRPr="000C771D">
        <w:t xml:space="preserve"> Nr. F008_275_A19_IN</w:t>
      </w:r>
      <w:r>
        <w:t xml:space="preserve"> vom 14.07.2022 (Herstellerangabe)</w:t>
      </w:r>
    </w:p>
    <w:p w14:paraId="6B1A32E6" w14:textId="2C979E3B" w:rsidR="00094D3C" w:rsidRPr="004C3349" w:rsidRDefault="00094D3C" w:rsidP="00511613">
      <w:pPr>
        <w:spacing w:line="312"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52"/>
        <w:gridCol w:w="1075"/>
        <w:gridCol w:w="659"/>
        <w:gridCol w:w="660"/>
        <w:gridCol w:w="659"/>
        <w:gridCol w:w="660"/>
        <w:gridCol w:w="667"/>
        <w:gridCol w:w="667"/>
        <w:gridCol w:w="667"/>
        <w:gridCol w:w="667"/>
      </w:tblGrid>
      <w:tr w:rsidR="004C3349" w:rsidRPr="004C3349" w14:paraId="460B0001" w14:textId="77777777" w:rsidTr="00B4367D">
        <w:trPr>
          <w:jc w:val="center"/>
        </w:trPr>
        <w:tc>
          <w:tcPr>
            <w:tcW w:w="3756" w:type="dxa"/>
            <w:gridSpan w:val="3"/>
            <w:shd w:val="clear" w:color="auto" w:fill="auto"/>
            <w:vAlign w:val="center"/>
          </w:tcPr>
          <w:p w14:paraId="671F8D00" w14:textId="77777777" w:rsidR="006D6882" w:rsidRPr="004C3349" w:rsidRDefault="006D6882" w:rsidP="00083031">
            <w:pPr>
              <w:spacing w:line="312" w:lineRule="auto"/>
              <w:jc w:val="center"/>
              <w:rPr>
                <w:b/>
                <w:bCs/>
                <w:sz w:val="18"/>
                <w:szCs w:val="18"/>
              </w:rPr>
            </w:pPr>
            <w:r w:rsidRPr="004C3349">
              <w:rPr>
                <w:b/>
                <w:bCs/>
                <w:sz w:val="18"/>
                <w:szCs w:val="18"/>
              </w:rPr>
              <w:t>Betriebsmodus:</w:t>
            </w:r>
          </w:p>
          <w:p w14:paraId="4071251F" w14:textId="063CB2F5" w:rsidR="006D6882" w:rsidRPr="004C3349" w:rsidRDefault="004C3349" w:rsidP="006D6882">
            <w:pPr>
              <w:spacing w:line="312" w:lineRule="auto"/>
              <w:jc w:val="center"/>
              <w:rPr>
                <w:b/>
                <w:bCs/>
                <w:sz w:val="18"/>
                <w:szCs w:val="18"/>
              </w:rPr>
            </w:pPr>
            <w:r w:rsidRPr="004C3349">
              <w:rPr>
                <w:b/>
                <w:bCs/>
                <w:sz w:val="18"/>
                <w:szCs w:val="18"/>
              </w:rPr>
              <w:t>Mode 10</w:t>
            </w:r>
            <w:r w:rsidR="006D6882" w:rsidRPr="004C3349">
              <w:rPr>
                <w:b/>
                <w:bCs/>
                <w:sz w:val="18"/>
                <w:szCs w:val="18"/>
              </w:rPr>
              <w:t xml:space="preserve"> – Geräuschoptimierter Modus</w:t>
            </w:r>
          </w:p>
        </w:tc>
        <w:tc>
          <w:tcPr>
            <w:tcW w:w="5306" w:type="dxa"/>
            <w:gridSpan w:val="8"/>
            <w:shd w:val="clear" w:color="auto" w:fill="auto"/>
            <w:vAlign w:val="center"/>
          </w:tcPr>
          <w:p w14:paraId="4FA9F439" w14:textId="77777777" w:rsidR="006D6882" w:rsidRPr="004C3349" w:rsidRDefault="006D6882" w:rsidP="00083031">
            <w:pPr>
              <w:spacing w:line="312" w:lineRule="auto"/>
              <w:jc w:val="center"/>
              <w:rPr>
                <w:b/>
                <w:bCs/>
                <w:sz w:val="18"/>
                <w:szCs w:val="18"/>
              </w:rPr>
            </w:pPr>
            <w:r w:rsidRPr="004C3349">
              <w:rPr>
                <w:b/>
                <w:bCs/>
                <w:sz w:val="18"/>
                <w:szCs w:val="18"/>
              </w:rPr>
              <w:t>Oktav-Schallleistungspegel</w:t>
            </w:r>
          </w:p>
        </w:tc>
      </w:tr>
      <w:tr w:rsidR="004C3349" w:rsidRPr="004C3349" w14:paraId="6D7DA318" w14:textId="77777777" w:rsidTr="00E3282A">
        <w:trPr>
          <w:jc w:val="center"/>
        </w:trPr>
        <w:tc>
          <w:tcPr>
            <w:tcW w:w="1129" w:type="dxa"/>
            <w:vMerge w:val="restart"/>
            <w:vAlign w:val="center"/>
          </w:tcPr>
          <w:p w14:paraId="2F0C0347" w14:textId="77777777" w:rsidR="006D6882" w:rsidRPr="004C3349" w:rsidRDefault="006D6882" w:rsidP="00083031">
            <w:pPr>
              <w:spacing w:line="312" w:lineRule="auto"/>
              <w:jc w:val="center"/>
              <w:rPr>
                <w:b/>
                <w:sz w:val="18"/>
                <w:szCs w:val="18"/>
              </w:rPr>
            </w:pPr>
            <w:r w:rsidRPr="004C3349">
              <w:rPr>
                <w:b/>
                <w:sz w:val="18"/>
                <w:szCs w:val="18"/>
              </w:rPr>
              <w:t>WEA</w:t>
            </w:r>
          </w:p>
        </w:tc>
        <w:tc>
          <w:tcPr>
            <w:tcW w:w="1552" w:type="dxa"/>
            <w:vMerge w:val="restart"/>
            <w:shd w:val="clear" w:color="auto" w:fill="auto"/>
            <w:vAlign w:val="center"/>
          </w:tcPr>
          <w:p w14:paraId="7AE67742" w14:textId="77777777" w:rsidR="006D6882" w:rsidRPr="004C3349" w:rsidRDefault="006D6882" w:rsidP="00083031">
            <w:pPr>
              <w:spacing w:line="312" w:lineRule="auto"/>
              <w:jc w:val="center"/>
              <w:rPr>
                <w:b/>
                <w:sz w:val="18"/>
                <w:szCs w:val="18"/>
              </w:rPr>
            </w:pPr>
            <w:r w:rsidRPr="004C3349">
              <w:rPr>
                <w:b/>
                <w:sz w:val="18"/>
                <w:szCs w:val="18"/>
              </w:rPr>
              <w:t>Spektrums-bezeichnung</w:t>
            </w:r>
          </w:p>
        </w:tc>
        <w:tc>
          <w:tcPr>
            <w:tcW w:w="1075" w:type="dxa"/>
            <w:vMerge w:val="restart"/>
            <w:vAlign w:val="center"/>
          </w:tcPr>
          <w:p w14:paraId="767A0F37" w14:textId="77777777" w:rsidR="006D6882" w:rsidRPr="004C3349" w:rsidRDefault="006D6882" w:rsidP="00083031">
            <w:pPr>
              <w:spacing w:line="312" w:lineRule="auto"/>
              <w:jc w:val="center"/>
              <w:rPr>
                <w:b/>
                <w:sz w:val="18"/>
                <w:szCs w:val="18"/>
              </w:rPr>
            </w:pPr>
            <w:r w:rsidRPr="004C3349">
              <w:rPr>
                <w:b/>
                <w:sz w:val="18"/>
                <w:szCs w:val="18"/>
              </w:rPr>
              <w:t>Summen-pegel</w:t>
            </w:r>
          </w:p>
        </w:tc>
        <w:tc>
          <w:tcPr>
            <w:tcW w:w="5306" w:type="dxa"/>
            <w:gridSpan w:val="8"/>
            <w:shd w:val="clear" w:color="auto" w:fill="auto"/>
            <w:vAlign w:val="center"/>
          </w:tcPr>
          <w:p w14:paraId="43A6B514" w14:textId="77777777" w:rsidR="006D6882" w:rsidRPr="004C3349" w:rsidRDefault="006D6882" w:rsidP="00083031">
            <w:pPr>
              <w:spacing w:line="312" w:lineRule="auto"/>
              <w:jc w:val="center"/>
              <w:rPr>
                <w:b/>
                <w:sz w:val="18"/>
                <w:szCs w:val="18"/>
              </w:rPr>
            </w:pPr>
            <w:r w:rsidRPr="004C3349">
              <w:rPr>
                <w:b/>
                <w:sz w:val="18"/>
                <w:szCs w:val="18"/>
              </w:rPr>
              <w:t>Frequenz [Hz]</w:t>
            </w:r>
          </w:p>
        </w:tc>
      </w:tr>
      <w:tr w:rsidR="004C3349" w:rsidRPr="004C3349" w14:paraId="4932E708" w14:textId="77777777" w:rsidTr="00E3282A">
        <w:trPr>
          <w:jc w:val="center"/>
        </w:trPr>
        <w:tc>
          <w:tcPr>
            <w:tcW w:w="1129" w:type="dxa"/>
            <w:vMerge/>
            <w:vAlign w:val="center"/>
          </w:tcPr>
          <w:p w14:paraId="07E6BFF7" w14:textId="77777777" w:rsidR="006D6882" w:rsidRPr="004C3349" w:rsidRDefault="006D6882" w:rsidP="00083031">
            <w:pPr>
              <w:spacing w:line="312" w:lineRule="auto"/>
              <w:jc w:val="center"/>
              <w:rPr>
                <w:sz w:val="18"/>
                <w:szCs w:val="18"/>
              </w:rPr>
            </w:pPr>
          </w:p>
        </w:tc>
        <w:tc>
          <w:tcPr>
            <w:tcW w:w="1552" w:type="dxa"/>
            <w:vMerge/>
            <w:shd w:val="clear" w:color="auto" w:fill="auto"/>
            <w:vAlign w:val="center"/>
          </w:tcPr>
          <w:p w14:paraId="3A5F1E1A" w14:textId="77777777" w:rsidR="006D6882" w:rsidRPr="004C3349" w:rsidRDefault="006D6882" w:rsidP="00083031">
            <w:pPr>
              <w:spacing w:line="312" w:lineRule="auto"/>
              <w:jc w:val="center"/>
              <w:rPr>
                <w:sz w:val="18"/>
                <w:szCs w:val="18"/>
              </w:rPr>
            </w:pPr>
          </w:p>
        </w:tc>
        <w:tc>
          <w:tcPr>
            <w:tcW w:w="1075" w:type="dxa"/>
            <w:vMerge/>
            <w:vAlign w:val="center"/>
          </w:tcPr>
          <w:p w14:paraId="6E12AE33" w14:textId="77777777" w:rsidR="006D6882" w:rsidRPr="004C3349" w:rsidRDefault="006D6882" w:rsidP="00083031">
            <w:pPr>
              <w:spacing w:line="312" w:lineRule="auto"/>
              <w:jc w:val="center"/>
              <w:rPr>
                <w:sz w:val="18"/>
                <w:szCs w:val="18"/>
              </w:rPr>
            </w:pPr>
          </w:p>
        </w:tc>
        <w:tc>
          <w:tcPr>
            <w:tcW w:w="659" w:type="dxa"/>
            <w:shd w:val="clear" w:color="auto" w:fill="auto"/>
            <w:vAlign w:val="center"/>
          </w:tcPr>
          <w:p w14:paraId="5DB1C3CD" w14:textId="77777777" w:rsidR="006D6882" w:rsidRPr="004C3349" w:rsidRDefault="006D6882" w:rsidP="00083031">
            <w:pPr>
              <w:spacing w:line="312" w:lineRule="auto"/>
              <w:jc w:val="center"/>
              <w:rPr>
                <w:b/>
                <w:sz w:val="18"/>
                <w:szCs w:val="18"/>
              </w:rPr>
            </w:pPr>
            <w:r w:rsidRPr="004C3349">
              <w:rPr>
                <w:b/>
                <w:sz w:val="18"/>
                <w:szCs w:val="18"/>
              </w:rPr>
              <w:t>63</w:t>
            </w:r>
          </w:p>
        </w:tc>
        <w:tc>
          <w:tcPr>
            <w:tcW w:w="660" w:type="dxa"/>
            <w:shd w:val="clear" w:color="auto" w:fill="auto"/>
            <w:vAlign w:val="center"/>
          </w:tcPr>
          <w:p w14:paraId="07B17142" w14:textId="77777777" w:rsidR="006D6882" w:rsidRPr="004C3349" w:rsidRDefault="006D6882" w:rsidP="00083031">
            <w:pPr>
              <w:spacing w:line="312" w:lineRule="auto"/>
              <w:jc w:val="center"/>
              <w:rPr>
                <w:b/>
                <w:sz w:val="18"/>
                <w:szCs w:val="18"/>
              </w:rPr>
            </w:pPr>
            <w:r w:rsidRPr="004C3349">
              <w:rPr>
                <w:b/>
                <w:sz w:val="18"/>
                <w:szCs w:val="18"/>
              </w:rPr>
              <w:t>125</w:t>
            </w:r>
          </w:p>
        </w:tc>
        <w:tc>
          <w:tcPr>
            <w:tcW w:w="659" w:type="dxa"/>
            <w:shd w:val="clear" w:color="auto" w:fill="auto"/>
            <w:vAlign w:val="center"/>
          </w:tcPr>
          <w:p w14:paraId="3D52A607" w14:textId="77777777" w:rsidR="006D6882" w:rsidRPr="004C3349" w:rsidRDefault="006D6882" w:rsidP="00083031">
            <w:pPr>
              <w:spacing w:line="312" w:lineRule="auto"/>
              <w:jc w:val="center"/>
              <w:rPr>
                <w:b/>
                <w:sz w:val="18"/>
                <w:szCs w:val="18"/>
              </w:rPr>
            </w:pPr>
            <w:r w:rsidRPr="004C3349">
              <w:rPr>
                <w:b/>
                <w:sz w:val="18"/>
                <w:szCs w:val="18"/>
              </w:rPr>
              <w:t>250</w:t>
            </w:r>
          </w:p>
        </w:tc>
        <w:tc>
          <w:tcPr>
            <w:tcW w:w="660" w:type="dxa"/>
            <w:shd w:val="clear" w:color="auto" w:fill="auto"/>
            <w:vAlign w:val="center"/>
          </w:tcPr>
          <w:p w14:paraId="26B82519" w14:textId="77777777" w:rsidR="006D6882" w:rsidRPr="004C3349" w:rsidRDefault="006D6882" w:rsidP="00083031">
            <w:pPr>
              <w:spacing w:line="312" w:lineRule="auto"/>
              <w:jc w:val="center"/>
              <w:rPr>
                <w:b/>
                <w:sz w:val="18"/>
                <w:szCs w:val="18"/>
              </w:rPr>
            </w:pPr>
            <w:r w:rsidRPr="004C3349">
              <w:rPr>
                <w:b/>
                <w:sz w:val="18"/>
                <w:szCs w:val="18"/>
              </w:rPr>
              <w:t>500</w:t>
            </w:r>
          </w:p>
        </w:tc>
        <w:tc>
          <w:tcPr>
            <w:tcW w:w="667" w:type="dxa"/>
            <w:shd w:val="clear" w:color="auto" w:fill="auto"/>
            <w:vAlign w:val="center"/>
          </w:tcPr>
          <w:p w14:paraId="0173FFA9" w14:textId="77777777" w:rsidR="006D6882" w:rsidRPr="004C3349" w:rsidRDefault="006D6882" w:rsidP="00083031">
            <w:pPr>
              <w:spacing w:line="312" w:lineRule="auto"/>
              <w:jc w:val="center"/>
              <w:rPr>
                <w:b/>
                <w:sz w:val="18"/>
                <w:szCs w:val="18"/>
              </w:rPr>
            </w:pPr>
            <w:r w:rsidRPr="004C3349">
              <w:rPr>
                <w:b/>
                <w:sz w:val="18"/>
                <w:szCs w:val="18"/>
              </w:rPr>
              <w:t>1000</w:t>
            </w:r>
          </w:p>
        </w:tc>
        <w:tc>
          <w:tcPr>
            <w:tcW w:w="667" w:type="dxa"/>
            <w:shd w:val="clear" w:color="auto" w:fill="auto"/>
            <w:vAlign w:val="center"/>
          </w:tcPr>
          <w:p w14:paraId="5A23A61F" w14:textId="77777777" w:rsidR="006D6882" w:rsidRPr="004C3349" w:rsidRDefault="006D6882" w:rsidP="00083031">
            <w:pPr>
              <w:spacing w:line="312" w:lineRule="auto"/>
              <w:jc w:val="center"/>
              <w:rPr>
                <w:b/>
                <w:sz w:val="18"/>
                <w:szCs w:val="18"/>
              </w:rPr>
            </w:pPr>
            <w:r w:rsidRPr="004C3349">
              <w:rPr>
                <w:b/>
                <w:sz w:val="18"/>
                <w:szCs w:val="18"/>
              </w:rPr>
              <w:t>2000</w:t>
            </w:r>
          </w:p>
        </w:tc>
        <w:tc>
          <w:tcPr>
            <w:tcW w:w="667" w:type="dxa"/>
            <w:shd w:val="clear" w:color="auto" w:fill="auto"/>
            <w:vAlign w:val="center"/>
          </w:tcPr>
          <w:p w14:paraId="24A8E827" w14:textId="77777777" w:rsidR="006D6882" w:rsidRPr="004C3349" w:rsidRDefault="006D6882" w:rsidP="00083031">
            <w:pPr>
              <w:spacing w:line="312" w:lineRule="auto"/>
              <w:jc w:val="center"/>
              <w:rPr>
                <w:b/>
                <w:sz w:val="18"/>
                <w:szCs w:val="18"/>
              </w:rPr>
            </w:pPr>
            <w:r w:rsidRPr="004C3349">
              <w:rPr>
                <w:b/>
                <w:sz w:val="18"/>
                <w:szCs w:val="18"/>
              </w:rPr>
              <w:t>4000</w:t>
            </w:r>
          </w:p>
        </w:tc>
        <w:tc>
          <w:tcPr>
            <w:tcW w:w="667" w:type="dxa"/>
            <w:shd w:val="clear" w:color="auto" w:fill="auto"/>
            <w:vAlign w:val="center"/>
          </w:tcPr>
          <w:p w14:paraId="7EDEECE4" w14:textId="77777777" w:rsidR="006D6882" w:rsidRPr="004C3349" w:rsidRDefault="006D6882" w:rsidP="00083031">
            <w:pPr>
              <w:spacing w:line="312" w:lineRule="auto"/>
              <w:jc w:val="center"/>
              <w:rPr>
                <w:b/>
                <w:sz w:val="18"/>
                <w:szCs w:val="18"/>
              </w:rPr>
            </w:pPr>
            <w:r w:rsidRPr="004C3349">
              <w:rPr>
                <w:b/>
                <w:sz w:val="18"/>
                <w:szCs w:val="18"/>
              </w:rPr>
              <w:t>8000</w:t>
            </w:r>
          </w:p>
        </w:tc>
      </w:tr>
      <w:tr w:rsidR="004C3349" w:rsidRPr="004C3349" w14:paraId="7DE9FA94" w14:textId="77777777" w:rsidTr="00E3282A">
        <w:trPr>
          <w:jc w:val="center"/>
        </w:trPr>
        <w:tc>
          <w:tcPr>
            <w:tcW w:w="1129" w:type="dxa"/>
            <w:vMerge w:val="restart"/>
            <w:vAlign w:val="center"/>
          </w:tcPr>
          <w:p w14:paraId="7167AC33" w14:textId="2884BB85" w:rsidR="006D6882" w:rsidRPr="004C3349" w:rsidRDefault="006D6882" w:rsidP="00807572">
            <w:pPr>
              <w:spacing w:line="312" w:lineRule="auto"/>
              <w:jc w:val="center"/>
              <w:rPr>
                <w:sz w:val="18"/>
                <w:szCs w:val="20"/>
              </w:rPr>
            </w:pPr>
            <w:r w:rsidRPr="004C3349">
              <w:rPr>
                <w:sz w:val="18"/>
                <w:szCs w:val="20"/>
              </w:rPr>
              <w:t>WEA</w:t>
            </w:r>
            <w:r w:rsidR="00ED6C1D" w:rsidRPr="004C3349">
              <w:rPr>
                <w:sz w:val="18"/>
                <w:szCs w:val="20"/>
              </w:rPr>
              <w:t xml:space="preserve"> </w:t>
            </w:r>
            <w:r w:rsidR="000C771D" w:rsidRPr="004C3349">
              <w:rPr>
                <w:sz w:val="18"/>
                <w:szCs w:val="20"/>
              </w:rPr>
              <w:t>1</w:t>
            </w:r>
          </w:p>
          <w:p w14:paraId="7D461090" w14:textId="77777777" w:rsidR="005061DB" w:rsidRDefault="00807572" w:rsidP="005061DB">
            <w:pPr>
              <w:spacing w:line="312" w:lineRule="auto"/>
              <w:jc w:val="center"/>
              <w:rPr>
                <w:sz w:val="18"/>
                <w:szCs w:val="20"/>
              </w:rPr>
            </w:pPr>
            <w:r w:rsidRPr="004C3349">
              <w:rPr>
                <w:sz w:val="18"/>
                <w:szCs w:val="20"/>
              </w:rPr>
              <w:t xml:space="preserve">WEA </w:t>
            </w:r>
            <w:r w:rsidR="000C771D" w:rsidRPr="004C3349">
              <w:rPr>
                <w:sz w:val="18"/>
                <w:szCs w:val="20"/>
              </w:rPr>
              <w:t>2</w:t>
            </w:r>
          </w:p>
          <w:p w14:paraId="40D5EFA7" w14:textId="6FCD1F0E" w:rsidR="005061DB" w:rsidRPr="004C3349" w:rsidRDefault="005061DB" w:rsidP="005061DB">
            <w:pPr>
              <w:spacing w:line="312" w:lineRule="auto"/>
              <w:jc w:val="center"/>
              <w:rPr>
                <w:sz w:val="18"/>
                <w:szCs w:val="20"/>
              </w:rPr>
            </w:pPr>
            <w:r>
              <w:rPr>
                <w:sz w:val="18"/>
                <w:szCs w:val="20"/>
              </w:rPr>
              <w:t>(22-6 Uhr)</w:t>
            </w:r>
          </w:p>
        </w:tc>
        <w:tc>
          <w:tcPr>
            <w:tcW w:w="1552" w:type="dxa"/>
            <w:shd w:val="clear" w:color="auto" w:fill="auto"/>
            <w:vAlign w:val="center"/>
          </w:tcPr>
          <w:p w14:paraId="6A57BA06" w14:textId="77777777" w:rsidR="006D6882" w:rsidRPr="004C3349" w:rsidRDefault="006D6882" w:rsidP="00083031">
            <w:pPr>
              <w:spacing w:line="312" w:lineRule="auto"/>
              <w:jc w:val="center"/>
              <w:rPr>
                <w:sz w:val="18"/>
                <w:szCs w:val="18"/>
              </w:rPr>
            </w:pPr>
            <w:r w:rsidRPr="004C3349">
              <w:rPr>
                <w:sz w:val="18"/>
                <w:szCs w:val="18"/>
              </w:rPr>
              <w:t>L</w:t>
            </w:r>
            <w:r w:rsidRPr="004C3349">
              <w:rPr>
                <w:sz w:val="18"/>
                <w:szCs w:val="18"/>
                <w:vertAlign w:val="subscript"/>
              </w:rPr>
              <w:t xml:space="preserve">W,Okt </w:t>
            </w:r>
            <w:r w:rsidRPr="004C3349">
              <w:rPr>
                <w:sz w:val="18"/>
                <w:szCs w:val="18"/>
              </w:rPr>
              <w:t>[dB(A)]</w:t>
            </w:r>
          </w:p>
        </w:tc>
        <w:tc>
          <w:tcPr>
            <w:tcW w:w="1075" w:type="dxa"/>
            <w:vAlign w:val="center"/>
          </w:tcPr>
          <w:p w14:paraId="428868A6" w14:textId="743C294B" w:rsidR="006D6882" w:rsidRPr="004C3349" w:rsidRDefault="004C3349" w:rsidP="00083031">
            <w:pPr>
              <w:spacing w:line="312" w:lineRule="auto"/>
              <w:jc w:val="center"/>
              <w:rPr>
                <w:sz w:val="18"/>
                <w:szCs w:val="18"/>
              </w:rPr>
            </w:pPr>
            <w:r w:rsidRPr="004C3349">
              <w:rPr>
                <w:sz w:val="18"/>
                <w:szCs w:val="18"/>
              </w:rPr>
              <w:t>99,5</w:t>
            </w:r>
          </w:p>
        </w:tc>
        <w:tc>
          <w:tcPr>
            <w:tcW w:w="659" w:type="dxa"/>
            <w:shd w:val="clear" w:color="auto" w:fill="auto"/>
            <w:vAlign w:val="center"/>
          </w:tcPr>
          <w:p w14:paraId="06237470" w14:textId="56A256DB" w:rsidR="006D6882" w:rsidRPr="004C3349" w:rsidRDefault="004C3349" w:rsidP="00083031">
            <w:pPr>
              <w:spacing w:line="312" w:lineRule="auto"/>
              <w:jc w:val="center"/>
              <w:rPr>
                <w:sz w:val="18"/>
                <w:szCs w:val="18"/>
              </w:rPr>
            </w:pPr>
            <w:r w:rsidRPr="004C3349">
              <w:rPr>
                <w:sz w:val="18"/>
                <w:szCs w:val="18"/>
              </w:rPr>
              <w:t>81,2</w:t>
            </w:r>
          </w:p>
        </w:tc>
        <w:tc>
          <w:tcPr>
            <w:tcW w:w="660" w:type="dxa"/>
            <w:shd w:val="clear" w:color="auto" w:fill="auto"/>
            <w:vAlign w:val="center"/>
          </w:tcPr>
          <w:p w14:paraId="19368EC8" w14:textId="44726DE0" w:rsidR="006D6882" w:rsidRPr="004C3349" w:rsidRDefault="004C3349" w:rsidP="00083031">
            <w:pPr>
              <w:spacing w:line="312" w:lineRule="auto"/>
              <w:jc w:val="center"/>
              <w:rPr>
                <w:sz w:val="18"/>
                <w:szCs w:val="18"/>
              </w:rPr>
            </w:pPr>
            <w:r w:rsidRPr="004C3349">
              <w:rPr>
                <w:sz w:val="18"/>
                <w:szCs w:val="18"/>
              </w:rPr>
              <w:t>87,4</w:t>
            </w:r>
          </w:p>
        </w:tc>
        <w:tc>
          <w:tcPr>
            <w:tcW w:w="659" w:type="dxa"/>
            <w:shd w:val="clear" w:color="auto" w:fill="auto"/>
            <w:vAlign w:val="center"/>
          </w:tcPr>
          <w:p w14:paraId="5D105AEF" w14:textId="43DD5B3B" w:rsidR="006D6882" w:rsidRPr="004C3349" w:rsidRDefault="004C3349" w:rsidP="00083031">
            <w:pPr>
              <w:spacing w:line="312" w:lineRule="auto"/>
              <w:jc w:val="center"/>
              <w:rPr>
                <w:sz w:val="18"/>
                <w:szCs w:val="18"/>
              </w:rPr>
            </w:pPr>
            <w:r w:rsidRPr="004C3349">
              <w:rPr>
                <w:sz w:val="18"/>
                <w:szCs w:val="18"/>
              </w:rPr>
              <w:t>91,1</w:t>
            </w:r>
          </w:p>
        </w:tc>
        <w:tc>
          <w:tcPr>
            <w:tcW w:w="660" w:type="dxa"/>
            <w:shd w:val="clear" w:color="auto" w:fill="auto"/>
            <w:vAlign w:val="center"/>
          </w:tcPr>
          <w:p w14:paraId="577D5937" w14:textId="2496E73B" w:rsidR="006D6882" w:rsidRPr="004C3349" w:rsidRDefault="004C3349" w:rsidP="00083031">
            <w:pPr>
              <w:spacing w:line="312" w:lineRule="auto"/>
              <w:jc w:val="center"/>
              <w:rPr>
                <w:sz w:val="18"/>
                <w:szCs w:val="18"/>
              </w:rPr>
            </w:pPr>
            <w:r w:rsidRPr="004C3349">
              <w:rPr>
                <w:sz w:val="18"/>
                <w:szCs w:val="18"/>
              </w:rPr>
              <w:t>93,7</w:t>
            </w:r>
          </w:p>
        </w:tc>
        <w:tc>
          <w:tcPr>
            <w:tcW w:w="667" w:type="dxa"/>
            <w:shd w:val="clear" w:color="auto" w:fill="auto"/>
            <w:vAlign w:val="center"/>
          </w:tcPr>
          <w:p w14:paraId="7ED47D60" w14:textId="5A523269" w:rsidR="006D6882" w:rsidRPr="004C3349" w:rsidRDefault="004C3349" w:rsidP="00083031">
            <w:pPr>
              <w:spacing w:line="312" w:lineRule="auto"/>
              <w:jc w:val="center"/>
              <w:rPr>
                <w:sz w:val="18"/>
                <w:szCs w:val="18"/>
              </w:rPr>
            </w:pPr>
            <w:r w:rsidRPr="004C3349">
              <w:rPr>
                <w:sz w:val="18"/>
                <w:szCs w:val="18"/>
              </w:rPr>
              <w:t>94,4</w:t>
            </w:r>
          </w:p>
        </w:tc>
        <w:tc>
          <w:tcPr>
            <w:tcW w:w="667" w:type="dxa"/>
            <w:shd w:val="clear" w:color="auto" w:fill="auto"/>
            <w:vAlign w:val="center"/>
          </w:tcPr>
          <w:p w14:paraId="38DAC961" w14:textId="78A5A59B" w:rsidR="006D6882" w:rsidRPr="004C3349" w:rsidRDefault="004C3349" w:rsidP="00083031">
            <w:pPr>
              <w:spacing w:line="312" w:lineRule="auto"/>
              <w:jc w:val="center"/>
              <w:rPr>
                <w:sz w:val="18"/>
                <w:szCs w:val="18"/>
              </w:rPr>
            </w:pPr>
            <w:r w:rsidRPr="004C3349">
              <w:rPr>
                <w:sz w:val="18"/>
                <w:szCs w:val="18"/>
              </w:rPr>
              <w:t>91,9</w:t>
            </w:r>
          </w:p>
        </w:tc>
        <w:tc>
          <w:tcPr>
            <w:tcW w:w="667" w:type="dxa"/>
            <w:shd w:val="clear" w:color="auto" w:fill="auto"/>
            <w:vAlign w:val="center"/>
          </w:tcPr>
          <w:p w14:paraId="3C6C71AB" w14:textId="79B690E6" w:rsidR="006D6882" w:rsidRPr="004C3349" w:rsidRDefault="004C3349" w:rsidP="00083031">
            <w:pPr>
              <w:spacing w:line="312" w:lineRule="auto"/>
              <w:jc w:val="center"/>
              <w:rPr>
                <w:sz w:val="18"/>
                <w:szCs w:val="18"/>
              </w:rPr>
            </w:pPr>
            <w:r w:rsidRPr="004C3349">
              <w:rPr>
                <w:sz w:val="18"/>
                <w:szCs w:val="18"/>
              </w:rPr>
              <w:t>84,3</w:t>
            </w:r>
          </w:p>
        </w:tc>
        <w:tc>
          <w:tcPr>
            <w:tcW w:w="667" w:type="dxa"/>
            <w:shd w:val="clear" w:color="auto" w:fill="auto"/>
            <w:vAlign w:val="center"/>
          </w:tcPr>
          <w:p w14:paraId="27518863" w14:textId="73BA1CAF" w:rsidR="006D6882" w:rsidRPr="004C3349" w:rsidRDefault="004C3349" w:rsidP="00083031">
            <w:pPr>
              <w:spacing w:line="312" w:lineRule="auto"/>
              <w:jc w:val="center"/>
              <w:rPr>
                <w:sz w:val="18"/>
                <w:szCs w:val="18"/>
              </w:rPr>
            </w:pPr>
            <w:r w:rsidRPr="004C3349">
              <w:rPr>
                <w:sz w:val="18"/>
                <w:szCs w:val="18"/>
              </w:rPr>
              <w:t>76,3</w:t>
            </w:r>
          </w:p>
        </w:tc>
      </w:tr>
      <w:tr w:rsidR="004C3349" w:rsidRPr="004C3349" w14:paraId="6EE0738B" w14:textId="77777777" w:rsidTr="00E3282A">
        <w:trPr>
          <w:jc w:val="center"/>
        </w:trPr>
        <w:tc>
          <w:tcPr>
            <w:tcW w:w="1129" w:type="dxa"/>
            <w:vMerge/>
            <w:vAlign w:val="center"/>
          </w:tcPr>
          <w:p w14:paraId="143EFDF3" w14:textId="77777777" w:rsidR="006D6882" w:rsidRPr="004C3349" w:rsidRDefault="006D6882" w:rsidP="00083031">
            <w:pPr>
              <w:spacing w:line="312" w:lineRule="auto"/>
              <w:jc w:val="center"/>
              <w:rPr>
                <w:sz w:val="18"/>
                <w:szCs w:val="18"/>
              </w:rPr>
            </w:pPr>
          </w:p>
        </w:tc>
        <w:tc>
          <w:tcPr>
            <w:tcW w:w="7933" w:type="dxa"/>
            <w:gridSpan w:val="10"/>
            <w:shd w:val="clear" w:color="auto" w:fill="auto"/>
            <w:vAlign w:val="center"/>
          </w:tcPr>
          <w:p w14:paraId="4FA10242" w14:textId="77777777" w:rsidR="006D6882" w:rsidRPr="004C3349" w:rsidRDefault="006D6882" w:rsidP="00083031">
            <w:pPr>
              <w:spacing w:line="312" w:lineRule="auto"/>
              <w:jc w:val="center"/>
              <w:rPr>
                <w:sz w:val="18"/>
                <w:szCs w:val="18"/>
              </w:rPr>
            </w:pPr>
            <w:r w:rsidRPr="004C3349">
              <w:rPr>
                <w:sz w:val="18"/>
                <w:szCs w:val="18"/>
              </w:rPr>
              <w:t xml:space="preserve">berücksichtigte Unsicherheiten:    </w:t>
            </w:r>
            <w:proofErr w:type="spellStart"/>
            <w:r w:rsidRPr="004C3349">
              <w:rPr>
                <w:sz w:val="18"/>
                <w:szCs w:val="18"/>
              </w:rPr>
              <w:t>σ</w:t>
            </w:r>
            <w:r w:rsidRPr="004C3349">
              <w:rPr>
                <w:sz w:val="18"/>
                <w:szCs w:val="18"/>
                <w:vertAlign w:val="subscript"/>
              </w:rPr>
              <w:t>R</w:t>
            </w:r>
            <w:proofErr w:type="spellEnd"/>
            <w:r w:rsidRPr="004C3349">
              <w:rPr>
                <w:sz w:val="18"/>
                <w:szCs w:val="18"/>
              </w:rPr>
              <w:t xml:space="preserve">= 0,5    </w:t>
            </w:r>
            <w:proofErr w:type="spellStart"/>
            <w:r w:rsidRPr="004C3349">
              <w:rPr>
                <w:sz w:val="18"/>
                <w:szCs w:val="18"/>
              </w:rPr>
              <w:t>σ</w:t>
            </w:r>
            <w:r w:rsidRPr="004C3349">
              <w:rPr>
                <w:sz w:val="18"/>
                <w:szCs w:val="18"/>
                <w:vertAlign w:val="subscript"/>
              </w:rPr>
              <w:t>P</w:t>
            </w:r>
            <w:proofErr w:type="spellEnd"/>
            <w:r w:rsidRPr="004C3349">
              <w:rPr>
                <w:sz w:val="18"/>
                <w:szCs w:val="18"/>
              </w:rPr>
              <w:t xml:space="preserve">= 1,2    </w:t>
            </w:r>
            <w:proofErr w:type="spellStart"/>
            <w:r w:rsidRPr="004C3349">
              <w:rPr>
                <w:sz w:val="18"/>
                <w:szCs w:val="18"/>
              </w:rPr>
              <w:t>σ</w:t>
            </w:r>
            <w:r w:rsidRPr="004C3349">
              <w:rPr>
                <w:sz w:val="18"/>
                <w:szCs w:val="18"/>
                <w:vertAlign w:val="subscript"/>
              </w:rPr>
              <w:t>Prog</w:t>
            </w:r>
            <w:proofErr w:type="spellEnd"/>
            <w:r w:rsidRPr="004C3349">
              <w:rPr>
                <w:sz w:val="18"/>
                <w:szCs w:val="18"/>
              </w:rPr>
              <w:t>= 1,0</w:t>
            </w:r>
          </w:p>
        </w:tc>
      </w:tr>
      <w:tr w:rsidR="004C3349" w:rsidRPr="004C3349" w14:paraId="3B630817" w14:textId="77777777" w:rsidTr="00E3282A">
        <w:trPr>
          <w:jc w:val="center"/>
        </w:trPr>
        <w:tc>
          <w:tcPr>
            <w:tcW w:w="1129" w:type="dxa"/>
            <w:vMerge/>
            <w:vAlign w:val="center"/>
          </w:tcPr>
          <w:p w14:paraId="33BD85F8" w14:textId="77777777" w:rsidR="006D6882" w:rsidRPr="004C3349" w:rsidRDefault="006D6882" w:rsidP="00083031">
            <w:pPr>
              <w:spacing w:line="312" w:lineRule="auto"/>
              <w:jc w:val="center"/>
              <w:rPr>
                <w:sz w:val="18"/>
                <w:szCs w:val="18"/>
              </w:rPr>
            </w:pPr>
          </w:p>
        </w:tc>
        <w:tc>
          <w:tcPr>
            <w:tcW w:w="1552" w:type="dxa"/>
            <w:shd w:val="clear" w:color="auto" w:fill="auto"/>
            <w:vAlign w:val="center"/>
          </w:tcPr>
          <w:p w14:paraId="08C95948" w14:textId="77777777" w:rsidR="006D6882" w:rsidRPr="004C3349" w:rsidRDefault="006D6882" w:rsidP="00083031">
            <w:pPr>
              <w:spacing w:line="312" w:lineRule="auto"/>
              <w:jc w:val="center"/>
              <w:rPr>
                <w:sz w:val="18"/>
                <w:szCs w:val="18"/>
              </w:rPr>
            </w:pPr>
            <w:r w:rsidRPr="004C3349">
              <w:rPr>
                <w:sz w:val="18"/>
                <w:szCs w:val="18"/>
              </w:rPr>
              <w:t>L</w:t>
            </w:r>
            <w:r w:rsidRPr="004C3349">
              <w:rPr>
                <w:sz w:val="18"/>
                <w:szCs w:val="18"/>
                <w:vertAlign w:val="subscript"/>
              </w:rPr>
              <w:t>e,max,Okt</w:t>
            </w:r>
            <w:r w:rsidRPr="004C3349">
              <w:rPr>
                <w:sz w:val="18"/>
                <w:szCs w:val="18"/>
              </w:rPr>
              <w:t xml:space="preserve"> [dB(A)]</w:t>
            </w:r>
          </w:p>
        </w:tc>
        <w:tc>
          <w:tcPr>
            <w:tcW w:w="1075" w:type="dxa"/>
            <w:vAlign w:val="center"/>
          </w:tcPr>
          <w:p w14:paraId="2F72DEFF" w14:textId="7A4A435A" w:rsidR="006D6882" w:rsidRPr="004C3349" w:rsidRDefault="004C3349" w:rsidP="00083031">
            <w:pPr>
              <w:spacing w:line="312" w:lineRule="auto"/>
              <w:jc w:val="center"/>
              <w:rPr>
                <w:sz w:val="18"/>
                <w:szCs w:val="18"/>
              </w:rPr>
            </w:pPr>
            <w:r w:rsidRPr="004C3349">
              <w:rPr>
                <w:sz w:val="18"/>
                <w:szCs w:val="18"/>
              </w:rPr>
              <w:t>101,2</w:t>
            </w:r>
          </w:p>
        </w:tc>
        <w:tc>
          <w:tcPr>
            <w:tcW w:w="659" w:type="dxa"/>
            <w:shd w:val="clear" w:color="auto" w:fill="auto"/>
            <w:vAlign w:val="center"/>
          </w:tcPr>
          <w:p w14:paraId="64E1AD2F" w14:textId="0606C896" w:rsidR="006D6882" w:rsidRPr="004C3349" w:rsidRDefault="004C3349" w:rsidP="00083031">
            <w:pPr>
              <w:spacing w:line="312" w:lineRule="auto"/>
              <w:jc w:val="center"/>
              <w:rPr>
                <w:sz w:val="18"/>
                <w:szCs w:val="18"/>
              </w:rPr>
            </w:pPr>
            <w:r w:rsidRPr="004C3349">
              <w:rPr>
                <w:sz w:val="18"/>
                <w:szCs w:val="18"/>
              </w:rPr>
              <w:t>82,9</w:t>
            </w:r>
          </w:p>
        </w:tc>
        <w:tc>
          <w:tcPr>
            <w:tcW w:w="660" w:type="dxa"/>
            <w:shd w:val="clear" w:color="auto" w:fill="auto"/>
            <w:vAlign w:val="center"/>
          </w:tcPr>
          <w:p w14:paraId="40BDC807" w14:textId="6E3D140C" w:rsidR="006D6882" w:rsidRPr="004C3349" w:rsidRDefault="004C3349" w:rsidP="00083031">
            <w:pPr>
              <w:spacing w:line="312" w:lineRule="auto"/>
              <w:jc w:val="center"/>
              <w:rPr>
                <w:sz w:val="18"/>
                <w:szCs w:val="18"/>
              </w:rPr>
            </w:pPr>
            <w:r w:rsidRPr="004C3349">
              <w:rPr>
                <w:sz w:val="18"/>
                <w:szCs w:val="18"/>
              </w:rPr>
              <w:t>89,1</w:t>
            </w:r>
          </w:p>
        </w:tc>
        <w:tc>
          <w:tcPr>
            <w:tcW w:w="659" w:type="dxa"/>
            <w:shd w:val="clear" w:color="auto" w:fill="auto"/>
            <w:vAlign w:val="center"/>
          </w:tcPr>
          <w:p w14:paraId="4BAF9A38" w14:textId="74A496EF" w:rsidR="006D6882" w:rsidRPr="004C3349" w:rsidRDefault="004C3349" w:rsidP="00083031">
            <w:pPr>
              <w:spacing w:line="312" w:lineRule="auto"/>
              <w:jc w:val="center"/>
              <w:rPr>
                <w:sz w:val="18"/>
                <w:szCs w:val="18"/>
              </w:rPr>
            </w:pPr>
            <w:r w:rsidRPr="004C3349">
              <w:rPr>
                <w:sz w:val="18"/>
                <w:szCs w:val="18"/>
              </w:rPr>
              <w:t>92,8</w:t>
            </w:r>
          </w:p>
        </w:tc>
        <w:tc>
          <w:tcPr>
            <w:tcW w:w="660" w:type="dxa"/>
            <w:shd w:val="clear" w:color="auto" w:fill="auto"/>
            <w:vAlign w:val="center"/>
          </w:tcPr>
          <w:p w14:paraId="2ABC42D7" w14:textId="178ACF13" w:rsidR="006D6882" w:rsidRPr="004C3349" w:rsidRDefault="004C3349" w:rsidP="00083031">
            <w:pPr>
              <w:spacing w:line="312" w:lineRule="auto"/>
              <w:jc w:val="center"/>
              <w:rPr>
                <w:sz w:val="18"/>
                <w:szCs w:val="18"/>
              </w:rPr>
            </w:pPr>
            <w:r w:rsidRPr="004C3349">
              <w:rPr>
                <w:sz w:val="18"/>
                <w:szCs w:val="18"/>
              </w:rPr>
              <w:t>95,4</w:t>
            </w:r>
          </w:p>
        </w:tc>
        <w:tc>
          <w:tcPr>
            <w:tcW w:w="667" w:type="dxa"/>
            <w:shd w:val="clear" w:color="auto" w:fill="auto"/>
            <w:vAlign w:val="center"/>
          </w:tcPr>
          <w:p w14:paraId="135D0C8C" w14:textId="61754136" w:rsidR="006D6882" w:rsidRPr="004C3349" w:rsidRDefault="004C3349" w:rsidP="00083031">
            <w:pPr>
              <w:spacing w:line="312" w:lineRule="auto"/>
              <w:jc w:val="center"/>
              <w:rPr>
                <w:sz w:val="18"/>
                <w:szCs w:val="18"/>
              </w:rPr>
            </w:pPr>
            <w:r w:rsidRPr="004C3349">
              <w:rPr>
                <w:sz w:val="18"/>
                <w:szCs w:val="18"/>
              </w:rPr>
              <w:t>96,1</w:t>
            </w:r>
          </w:p>
        </w:tc>
        <w:tc>
          <w:tcPr>
            <w:tcW w:w="667" w:type="dxa"/>
            <w:shd w:val="clear" w:color="auto" w:fill="auto"/>
            <w:vAlign w:val="center"/>
          </w:tcPr>
          <w:p w14:paraId="73B7138C" w14:textId="6039C142" w:rsidR="006D6882" w:rsidRPr="004C3349" w:rsidRDefault="004C3349" w:rsidP="00083031">
            <w:pPr>
              <w:spacing w:line="312" w:lineRule="auto"/>
              <w:jc w:val="center"/>
              <w:rPr>
                <w:sz w:val="18"/>
                <w:szCs w:val="18"/>
              </w:rPr>
            </w:pPr>
            <w:r w:rsidRPr="004C3349">
              <w:rPr>
                <w:sz w:val="18"/>
                <w:szCs w:val="18"/>
              </w:rPr>
              <w:t>93,6</w:t>
            </w:r>
          </w:p>
        </w:tc>
        <w:tc>
          <w:tcPr>
            <w:tcW w:w="667" w:type="dxa"/>
            <w:shd w:val="clear" w:color="auto" w:fill="auto"/>
            <w:vAlign w:val="center"/>
          </w:tcPr>
          <w:p w14:paraId="5175E702" w14:textId="5CF9B93B" w:rsidR="006D6882" w:rsidRPr="004C3349" w:rsidRDefault="004C3349" w:rsidP="00083031">
            <w:pPr>
              <w:spacing w:line="312" w:lineRule="auto"/>
              <w:jc w:val="center"/>
              <w:rPr>
                <w:sz w:val="18"/>
                <w:szCs w:val="18"/>
              </w:rPr>
            </w:pPr>
            <w:r w:rsidRPr="004C3349">
              <w:rPr>
                <w:sz w:val="18"/>
                <w:szCs w:val="18"/>
              </w:rPr>
              <w:t>86,0</w:t>
            </w:r>
          </w:p>
        </w:tc>
        <w:tc>
          <w:tcPr>
            <w:tcW w:w="667" w:type="dxa"/>
            <w:shd w:val="clear" w:color="auto" w:fill="auto"/>
            <w:vAlign w:val="center"/>
          </w:tcPr>
          <w:p w14:paraId="332C0906" w14:textId="7DECBD4F" w:rsidR="006D6882" w:rsidRPr="004C3349" w:rsidRDefault="004C3349" w:rsidP="00083031">
            <w:pPr>
              <w:spacing w:line="312" w:lineRule="auto"/>
              <w:jc w:val="center"/>
              <w:rPr>
                <w:sz w:val="18"/>
                <w:szCs w:val="18"/>
              </w:rPr>
            </w:pPr>
            <w:r w:rsidRPr="004C3349">
              <w:rPr>
                <w:sz w:val="18"/>
                <w:szCs w:val="18"/>
              </w:rPr>
              <w:t>78,0</w:t>
            </w:r>
          </w:p>
        </w:tc>
      </w:tr>
      <w:tr w:rsidR="004C3349" w:rsidRPr="004C3349" w14:paraId="7A2112A5" w14:textId="77777777" w:rsidTr="00E3282A">
        <w:trPr>
          <w:jc w:val="center"/>
        </w:trPr>
        <w:tc>
          <w:tcPr>
            <w:tcW w:w="1129" w:type="dxa"/>
            <w:vMerge/>
            <w:vAlign w:val="center"/>
          </w:tcPr>
          <w:p w14:paraId="613A3D2F" w14:textId="77777777" w:rsidR="006D6882" w:rsidRPr="004C3349" w:rsidRDefault="006D6882" w:rsidP="00083031">
            <w:pPr>
              <w:spacing w:line="312" w:lineRule="auto"/>
              <w:jc w:val="center"/>
              <w:rPr>
                <w:sz w:val="18"/>
                <w:szCs w:val="18"/>
              </w:rPr>
            </w:pPr>
          </w:p>
        </w:tc>
        <w:tc>
          <w:tcPr>
            <w:tcW w:w="1552" w:type="dxa"/>
            <w:shd w:val="clear" w:color="auto" w:fill="auto"/>
            <w:vAlign w:val="center"/>
          </w:tcPr>
          <w:p w14:paraId="124A2452" w14:textId="77777777" w:rsidR="006D6882" w:rsidRPr="004C3349" w:rsidRDefault="006D6882" w:rsidP="00083031">
            <w:pPr>
              <w:spacing w:line="312" w:lineRule="auto"/>
              <w:jc w:val="center"/>
              <w:rPr>
                <w:sz w:val="18"/>
                <w:szCs w:val="18"/>
              </w:rPr>
            </w:pPr>
            <w:r w:rsidRPr="004C3349">
              <w:rPr>
                <w:sz w:val="18"/>
                <w:szCs w:val="18"/>
              </w:rPr>
              <w:t>L</w:t>
            </w:r>
            <w:r w:rsidRPr="004C3349">
              <w:rPr>
                <w:sz w:val="18"/>
                <w:szCs w:val="18"/>
                <w:vertAlign w:val="subscript"/>
              </w:rPr>
              <w:t>o,Okt</w:t>
            </w:r>
            <w:r w:rsidRPr="004C3349">
              <w:rPr>
                <w:sz w:val="18"/>
                <w:szCs w:val="18"/>
              </w:rPr>
              <w:t xml:space="preserve"> [dB(A)]</w:t>
            </w:r>
          </w:p>
        </w:tc>
        <w:tc>
          <w:tcPr>
            <w:tcW w:w="1075" w:type="dxa"/>
            <w:vAlign w:val="center"/>
          </w:tcPr>
          <w:p w14:paraId="41601503" w14:textId="5FCDCD3C" w:rsidR="006D6882" w:rsidRPr="004C3349" w:rsidRDefault="004C3349" w:rsidP="006D6882">
            <w:pPr>
              <w:spacing w:line="312" w:lineRule="auto"/>
              <w:jc w:val="center"/>
              <w:rPr>
                <w:sz w:val="18"/>
                <w:szCs w:val="18"/>
              </w:rPr>
            </w:pPr>
            <w:r w:rsidRPr="004C3349">
              <w:rPr>
                <w:sz w:val="18"/>
                <w:szCs w:val="18"/>
              </w:rPr>
              <w:t>101,6</w:t>
            </w:r>
          </w:p>
        </w:tc>
        <w:tc>
          <w:tcPr>
            <w:tcW w:w="659" w:type="dxa"/>
            <w:shd w:val="clear" w:color="auto" w:fill="auto"/>
            <w:vAlign w:val="center"/>
          </w:tcPr>
          <w:p w14:paraId="1E12E8E9" w14:textId="6620E6D6" w:rsidR="006D6882" w:rsidRPr="004C3349" w:rsidRDefault="004C3349" w:rsidP="00083031">
            <w:pPr>
              <w:spacing w:line="312" w:lineRule="auto"/>
              <w:jc w:val="center"/>
              <w:rPr>
                <w:sz w:val="18"/>
                <w:szCs w:val="18"/>
              </w:rPr>
            </w:pPr>
            <w:r w:rsidRPr="004C3349">
              <w:rPr>
                <w:sz w:val="18"/>
                <w:szCs w:val="18"/>
              </w:rPr>
              <w:t>83,3</w:t>
            </w:r>
          </w:p>
        </w:tc>
        <w:tc>
          <w:tcPr>
            <w:tcW w:w="660" w:type="dxa"/>
            <w:shd w:val="clear" w:color="auto" w:fill="auto"/>
            <w:vAlign w:val="center"/>
          </w:tcPr>
          <w:p w14:paraId="567DFDCC" w14:textId="02848F38" w:rsidR="006D6882" w:rsidRPr="004C3349" w:rsidRDefault="004C3349" w:rsidP="00083031">
            <w:pPr>
              <w:spacing w:line="312" w:lineRule="auto"/>
              <w:jc w:val="center"/>
              <w:rPr>
                <w:sz w:val="18"/>
                <w:szCs w:val="18"/>
              </w:rPr>
            </w:pPr>
            <w:r w:rsidRPr="004C3349">
              <w:rPr>
                <w:sz w:val="18"/>
                <w:szCs w:val="18"/>
              </w:rPr>
              <w:t>89,5</w:t>
            </w:r>
          </w:p>
        </w:tc>
        <w:tc>
          <w:tcPr>
            <w:tcW w:w="659" w:type="dxa"/>
            <w:shd w:val="clear" w:color="auto" w:fill="auto"/>
            <w:vAlign w:val="center"/>
          </w:tcPr>
          <w:p w14:paraId="3A7E5C11" w14:textId="4168C3FB" w:rsidR="006D6882" w:rsidRPr="004C3349" w:rsidRDefault="004C3349" w:rsidP="00083031">
            <w:pPr>
              <w:spacing w:line="312" w:lineRule="auto"/>
              <w:jc w:val="center"/>
              <w:rPr>
                <w:sz w:val="18"/>
                <w:szCs w:val="18"/>
              </w:rPr>
            </w:pPr>
            <w:r w:rsidRPr="004C3349">
              <w:rPr>
                <w:sz w:val="18"/>
                <w:szCs w:val="18"/>
              </w:rPr>
              <w:t>93,2</w:t>
            </w:r>
          </w:p>
        </w:tc>
        <w:tc>
          <w:tcPr>
            <w:tcW w:w="660" w:type="dxa"/>
            <w:shd w:val="clear" w:color="auto" w:fill="auto"/>
            <w:vAlign w:val="center"/>
          </w:tcPr>
          <w:p w14:paraId="1C9ED3AA" w14:textId="0B8F8ADF" w:rsidR="006D6882" w:rsidRPr="004C3349" w:rsidRDefault="004C3349" w:rsidP="00083031">
            <w:pPr>
              <w:spacing w:line="312" w:lineRule="auto"/>
              <w:jc w:val="center"/>
              <w:rPr>
                <w:sz w:val="18"/>
                <w:szCs w:val="18"/>
              </w:rPr>
            </w:pPr>
            <w:r w:rsidRPr="004C3349">
              <w:rPr>
                <w:sz w:val="18"/>
                <w:szCs w:val="18"/>
              </w:rPr>
              <w:t>95,8</w:t>
            </w:r>
          </w:p>
        </w:tc>
        <w:tc>
          <w:tcPr>
            <w:tcW w:w="667" w:type="dxa"/>
            <w:shd w:val="clear" w:color="auto" w:fill="auto"/>
            <w:vAlign w:val="center"/>
          </w:tcPr>
          <w:p w14:paraId="142AF248" w14:textId="14840163" w:rsidR="006D6882" w:rsidRPr="004C3349" w:rsidRDefault="004C3349" w:rsidP="00083031">
            <w:pPr>
              <w:spacing w:line="312" w:lineRule="auto"/>
              <w:jc w:val="center"/>
              <w:rPr>
                <w:sz w:val="18"/>
                <w:szCs w:val="18"/>
              </w:rPr>
            </w:pPr>
            <w:r w:rsidRPr="004C3349">
              <w:rPr>
                <w:sz w:val="18"/>
                <w:szCs w:val="18"/>
              </w:rPr>
              <w:t>96,5</w:t>
            </w:r>
          </w:p>
        </w:tc>
        <w:tc>
          <w:tcPr>
            <w:tcW w:w="667" w:type="dxa"/>
            <w:shd w:val="clear" w:color="auto" w:fill="auto"/>
            <w:vAlign w:val="center"/>
          </w:tcPr>
          <w:p w14:paraId="4E9D7F9C" w14:textId="75A89D52" w:rsidR="006D6882" w:rsidRPr="004C3349" w:rsidRDefault="004C3349" w:rsidP="00083031">
            <w:pPr>
              <w:spacing w:line="312" w:lineRule="auto"/>
              <w:jc w:val="center"/>
              <w:rPr>
                <w:sz w:val="18"/>
                <w:szCs w:val="18"/>
              </w:rPr>
            </w:pPr>
            <w:r w:rsidRPr="004C3349">
              <w:rPr>
                <w:sz w:val="18"/>
                <w:szCs w:val="18"/>
              </w:rPr>
              <w:t>94,0</w:t>
            </w:r>
          </w:p>
        </w:tc>
        <w:tc>
          <w:tcPr>
            <w:tcW w:w="667" w:type="dxa"/>
            <w:shd w:val="clear" w:color="auto" w:fill="auto"/>
            <w:vAlign w:val="center"/>
          </w:tcPr>
          <w:p w14:paraId="0B355A25" w14:textId="53EA1E9B" w:rsidR="006D6882" w:rsidRPr="004C3349" w:rsidRDefault="004C3349" w:rsidP="00083031">
            <w:pPr>
              <w:spacing w:line="312" w:lineRule="auto"/>
              <w:jc w:val="center"/>
              <w:rPr>
                <w:sz w:val="18"/>
                <w:szCs w:val="18"/>
              </w:rPr>
            </w:pPr>
            <w:r w:rsidRPr="004C3349">
              <w:rPr>
                <w:sz w:val="18"/>
                <w:szCs w:val="18"/>
              </w:rPr>
              <w:t>86,4</w:t>
            </w:r>
          </w:p>
        </w:tc>
        <w:tc>
          <w:tcPr>
            <w:tcW w:w="667" w:type="dxa"/>
            <w:shd w:val="clear" w:color="auto" w:fill="auto"/>
            <w:vAlign w:val="center"/>
          </w:tcPr>
          <w:p w14:paraId="18CFE216" w14:textId="1CAC8B07" w:rsidR="006D6882" w:rsidRPr="004C3349" w:rsidRDefault="004C3349" w:rsidP="00083031">
            <w:pPr>
              <w:spacing w:line="312" w:lineRule="auto"/>
              <w:jc w:val="center"/>
              <w:rPr>
                <w:sz w:val="18"/>
                <w:szCs w:val="18"/>
              </w:rPr>
            </w:pPr>
            <w:r w:rsidRPr="004C3349">
              <w:rPr>
                <w:sz w:val="18"/>
                <w:szCs w:val="18"/>
              </w:rPr>
              <w:t>78,4</w:t>
            </w:r>
          </w:p>
        </w:tc>
      </w:tr>
    </w:tbl>
    <w:p w14:paraId="4DEA9908" w14:textId="118FEE10" w:rsidR="009936FE" w:rsidRDefault="00B4367D" w:rsidP="00511613">
      <w:pPr>
        <w:spacing w:line="312" w:lineRule="auto"/>
        <w:jc w:val="both"/>
      </w:pPr>
      <w:r>
        <w:t xml:space="preserve">Quelle: </w:t>
      </w:r>
      <w:proofErr w:type="spellStart"/>
      <w:r>
        <w:t>Nordex</w:t>
      </w:r>
      <w:proofErr w:type="spellEnd"/>
      <w:r>
        <w:t xml:space="preserve"> Datenblatt</w:t>
      </w:r>
      <w:r w:rsidRPr="000C771D">
        <w:t xml:space="preserve"> Nr. F008_275_A19_IN</w:t>
      </w:r>
      <w:r>
        <w:t xml:space="preserve"> vom 14.07.2022 (Herstellerangabe)</w:t>
      </w:r>
    </w:p>
    <w:p w14:paraId="59ACA9A9" w14:textId="77777777" w:rsidR="00B4367D" w:rsidRPr="004C3349" w:rsidRDefault="00B4367D" w:rsidP="00511613">
      <w:pPr>
        <w:spacing w:line="312" w:lineRule="auto"/>
        <w:jc w:val="both"/>
      </w:pPr>
    </w:p>
    <w:p w14:paraId="71537E66" w14:textId="6C3562F4" w:rsidR="00B4367D" w:rsidRPr="0010198E" w:rsidRDefault="00B4367D" w:rsidP="00511613">
      <w:pPr>
        <w:spacing w:line="312" w:lineRule="auto"/>
        <w:jc w:val="both"/>
      </w:pPr>
      <w:proofErr w:type="gramStart"/>
      <w:r>
        <w:t>L</w:t>
      </w:r>
      <w:r w:rsidRPr="0010198E">
        <w:rPr>
          <w:vertAlign w:val="subscript"/>
        </w:rPr>
        <w:t>e,max</w:t>
      </w:r>
      <w:proofErr w:type="gramEnd"/>
      <w:r w:rsidR="00F307D5">
        <w:rPr>
          <w:vertAlign w:val="subscript"/>
        </w:rPr>
        <w:t>,Okt</w:t>
      </w:r>
      <w:r>
        <w:t xml:space="preserve"> </w:t>
      </w:r>
      <w:r w:rsidR="0010198E">
        <w:t xml:space="preserve">entspricht dem maximal zulässigen </w:t>
      </w:r>
      <w:r w:rsidR="00F307D5">
        <w:t>Oktavschallleistungspegel</w:t>
      </w:r>
      <w:r w:rsidR="00FB0A69">
        <w:t xml:space="preserve"> der Emissionen</w:t>
      </w:r>
      <w:r w:rsidR="00F307D5">
        <w:t xml:space="preserve">, welcher sich aus dem </w:t>
      </w:r>
      <w:r w:rsidR="0010198E">
        <w:t xml:space="preserve">Oktav-Schallleistungspegel </w:t>
      </w:r>
      <w:r w:rsidR="00F307D5" w:rsidRPr="004C3349">
        <w:rPr>
          <w:sz w:val="18"/>
          <w:szCs w:val="18"/>
        </w:rPr>
        <w:t>L</w:t>
      </w:r>
      <w:r w:rsidR="00F307D5" w:rsidRPr="004C3349">
        <w:rPr>
          <w:sz w:val="18"/>
          <w:szCs w:val="18"/>
          <w:vertAlign w:val="subscript"/>
        </w:rPr>
        <w:t>W,Okt</w:t>
      </w:r>
      <w:r w:rsidR="00F307D5">
        <w:t xml:space="preserve"> </w:t>
      </w:r>
      <w:r w:rsidR="0010198E">
        <w:t>zzgl. der</w:t>
      </w:r>
      <w:r w:rsidR="0010198E" w:rsidRPr="0010198E">
        <w:t xml:space="preserve"> Unsicherheiten </w:t>
      </w:r>
      <w:proofErr w:type="spellStart"/>
      <w:r w:rsidR="0010198E" w:rsidRPr="0010198E">
        <w:t>σ</w:t>
      </w:r>
      <w:r w:rsidR="0010198E" w:rsidRPr="0010198E">
        <w:rPr>
          <w:vertAlign w:val="subscript"/>
        </w:rPr>
        <w:t>R</w:t>
      </w:r>
      <w:proofErr w:type="spellEnd"/>
      <w:r w:rsidR="0010198E" w:rsidRPr="0010198E">
        <w:t>= 0,5</w:t>
      </w:r>
      <w:r w:rsidR="0010198E">
        <w:t xml:space="preserve"> dB(A) und </w:t>
      </w:r>
      <w:proofErr w:type="spellStart"/>
      <w:r w:rsidR="0010198E" w:rsidRPr="0010198E">
        <w:t>σ</w:t>
      </w:r>
      <w:r w:rsidR="0010198E" w:rsidRPr="0010198E">
        <w:rPr>
          <w:vertAlign w:val="subscript"/>
        </w:rPr>
        <w:t>P</w:t>
      </w:r>
      <w:proofErr w:type="spellEnd"/>
      <w:r w:rsidR="0010198E" w:rsidRPr="0010198E">
        <w:t xml:space="preserve">= 1,2 </w:t>
      </w:r>
      <w:r w:rsidR="0010198E">
        <w:t xml:space="preserve">dB(A) </w:t>
      </w:r>
      <w:r w:rsidR="0010198E" w:rsidRPr="0010198E">
        <w:t>ergibt</w:t>
      </w:r>
    </w:p>
    <w:p w14:paraId="26E2AC1A" w14:textId="77777777" w:rsidR="00B4367D" w:rsidRDefault="00B4367D" w:rsidP="00511613">
      <w:pPr>
        <w:spacing w:line="312" w:lineRule="auto"/>
        <w:jc w:val="both"/>
      </w:pPr>
    </w:p>
    <w:p w14:paraId="4F1F801E" w14:textId="0FA34F1F" w:rsidR="00AC446B" w:rsidRPr="000C771D" w:rsidRDefault="00AC446B" w:rsidP="00511613">
      <w:pPr>
        <w:spacing w:line="312" w:lineRule="auto"/>
        <w:jc w:val="both"/>
      </w:pPr>
      <w:r w:rsidRPr="004C3349">
        <w:t xml:space="preserve">Die Oktavschallleistungspegel der oberen Vertrauensbereichsgrenze </w:t>
      </w:r>
      <w:proofErr w:type="gramStart"/>
      <w:r w:rsidRPr="004C3349">
        <w:t>L</w:t>
      </w:r>
      <w:r w:rsidRPr="004C3349">
        <w:rPr>
          <w:vertAlign w:val="subscript"/>
        </w:rPr>
        <w:t>o</w:t>
      </w:r>
      <w:r w:rsidR="002E0918" w:rsidRPr="004C3349">
        <w:rPr>
          <w:vertAlign w:val="subscript"/>
        </w:rPr>
        <w:t>,</w:t>
      </w:r>
      <w:r w:rsidRPr="004C3349">
        <w:rPr>
          <w:vertAlign w:val="subscript"/>
        </w:rPr>
        <w:t>Okt</w:t>
      </w:r>
      <w:proofErr w:type="gramEnd"/>
      <w:r w:rsidRPr="004C3349">
        <w:t xml:space="preserve"> stellen das Maß für die Auswirkungen des genehmigungskonformen Betriebs inklusive aller erforderlichen Zuschläge zur Berücksichtigung von Unsicherheiten dar und dürfen nicht überschritten werden. Sie gelten somit auch als Vorbelastung für nachfolgende </w:t>
      </w:r>
      <w:r w:rsidRPr="000C771D">
        <w:t>Anlagen.</w:t>
      </w:r>
    </w:p>
    <w:p w14:paraId="0682D85E" w14:textId="77777777" w:rsidR="00097852" w:rsidRPr="004C3349" w:rsidRDefault="00097852" w:rsidP="00511613">
      <w:pPr>
        <w:spacing w:line="312" w:lineRule="auto"/>
        <w:jc w:val="both"/>
      </w:pPr>
    </w:p>
    <w:p w14:paraId="64B33CFA" w14:textId="77777777" w:rsidR="00097852" w:rsidRPr="004C3349" w:rsidRDefault="00097852" w:rsidP="00511613">
      <w:pPr>
        <w:spacing w:line="312" w:lineRule="auto"/>
        <w:jc w:val="both"/>
      </w:pPr>
      <w:r w:rsidRPr="004C3349">
        <w:lastRenderedPageBreak/>
        <w:t xml:space="preserve">Die Umschaltung auf die schallreduzierte Betriebsweise zur Nachtzeit muss durch automatische Schaltung (z. B. mittels Zeitschaltuhr) erfolgen. Die Schaltung ist gegen unbefugte Änderung zu schützen. Bei Ausfall oder Störung der automatischen Schaltung ist automatisch ein Alarm an die Fernüberwachung zu geben. </w:t>
      </w:r>
    </w:p>
    <w:p w14:paraId="4B3730D1" w14:textId="77777777" w:rsidR="00103426" w:rsidRPr="004C3349" w:rsidRDefault="00103426" w:rsidP="00511613">
      <w:pPr>
        <w:spacing w:line="312" w:lineRule="auto"/>
        <w:jc w:val="both"/>
      </w:pPr>
    </w:p>
    <w:p w14:paraId="1F588E48" w14:textId="5DB1B440" w:rsidR="00103426" w:rsidRDefault="00103426" w:rsidP="00511613">
      <w:pPr>
        <w:spacing w:line="312" w:lineRule="auto"/>
        <w:jc w:val="both"/>
      </w:pPr>
      <w:r w:rsidRPr="004C3349">
        <w:t xml:space="preserve">Mindestens eine Woche vor Inbetriebnahme ist ein Nachweis vorzulegen, wonach ersichtlich ist, wie die automatische Umschaltung vom Volllastbetrieb </w:t>
      </w:r>
      <w:r w:rsidR="000C771D" w:rsidRPr="004C3349">
        <w:t>Mode 0</w:t>
      </w:r>
      <w:r w:rsidR="0064329C" w:rsidRPr="004C3349">
        <w:t xml:space="preserve"> </w:t>
      </w:r>
      <w:r w:rsidRPr="004C3349">
        <w:t xml:space="preserve">auf die geräuschoptimierten Betriebsmodi </w:t>
      </w:r>
      <w:r w:rsidR="000C771D" w:rsidRPr="004C3349">
        <w:t>Mode 9 und Mode 10</w:t>
      </w:r>
      <w:r w:rsidRPr="004C3349">
        <w:t xml:space="preserve"> (Nachtbetrieb) maschinentechnisch gesteuert wird und somit die Nebenbestimmungen zum Nachtbetrieb eingehalten werden.</w:t>
      </w:r>
    </w:p>
    <w:p w14:paraId="055CD864" w14:textId="2C2CEEF6" w:rsidR="00801698" w:rsidRDefault="00801698" w:rsidP="00511613">
      <w:pPr>
        <w:spacing w:line="312" w:lineRule="auto"/>
        <w:jc w:val="both"/>
      </w:pPr>
    </w:p>
    <w:p w14:paraId="23571728" w14:textId="05E39280" w:rsidR="0074148B" w:rsidRDefault="009D1359" w:rsidP="009D1359">
      <w:pPr>
        <w:spacing w:line="312" w:lineRule="auto"/>
        <w:jc w:val="both"/>
      </w:pPr>
      <w:r>
        <w:t xml:space="preserve">Die Windenergieanlagen WEA 1 - 3 sind solange während der Nachtzeit von 22:00 – 6:00 Uhr außer Betrieb zu setzen, bis </w:t>
      </w:r>
      <w:r w:rsidR="008A4A50">
        <w:t>die Einhaltung des festgesetzten Emissionspegels für den</w:t>
      </w:r>
      <w:r>
        <w:t xml:space="preserve"> WEA-Typ NORDEX N149 5.X STE im </w:t>
      </w:r>
      <w:r w:rsidR="009D4915">
        <w:t xml:space="preserve">jeweiligen </w:t>
      </w:r>
      <w:r>
        <w:t xml:space="preserve">Mode </w:t>
      </w:r>
      <w:r w:rsidR="008A4A50">
        <w:t xml:space="preserve">(WEA 3 – Mode </w:t>
      </w:r>
      <w:r>
        <w:t xml:space="preserve">9, sowie </w:t>
      </w:r>
      <w:r w:rsidR="008A4A50">
        <w:t xml:space="preserve">WEA 1 und WEA 2 im </w:t>
      </w:r>
      <w:r>
        <w:t>Mode 10</w:t>
      </w:r>
      <w:r w:rsidR="008A4A50">
        <w:t>)</w:t>
      </w:r>
      <w:r>
        <w:t xml:space="preserve"> durch eine Abnahmemessung nachgewiesen wird. </w:t>
      </w:r>
    </w:p>
    <w:p w14:paraId="7E50EB82" w14:textId="63F9AEFB" w:rsidR="00E14213" w:rsidRDefault="00E14213" w:rsidP="00511613">
      <w:pPr>
        <w:spacing w:line="312" w:lineRule="auto"/>
        <w:jc w:val="both"/>
      </w:pPr>
    </w:p>
    <w:p w14:paraId="2102E8C1" w14:textId="36D9883B" w:rsidR="009D1359" w:rsidRPr="00E14213" w:rsidRDefault="00A01042" w:rsidP="00511613">
      <w:pPr>
        <w:spacing w:line="312" w:lineRule="auto"/>
        <w:jc w:val="both"/>
        <w:rPr>
          <w:b/>
        </w:rPr>
      </w:pPr>
      <w:r w:rsidRPr="00E14213">
        <w:rPr>
          <w:b/>
        </w:rPr>
        <w:t xml:space="preserve">Die Nachtabschaltung kann unter folgenden </w:t>
      </w:r>
      <w:r w:rsidR="00E14213" w:rsidRPr="00E14213">
        <w:rPr>
          <w:b/>
        </w:rPr>
        <w:t>Voraussetzungen</w:t>
      </w:r>
      <w:r w:rsidRPr="00E14213">
        <w:rPr>
          <w:b/>
        </w:rPr>
        <w:t xml:space="preserve"> aufgehoben werden: </w:t>
      </w:r>
    </w:p>
    <w:p w14:paraId="7A4D8ED9" w14:textId="3FFAC0DC" w:rsidR="00A01042" w:rsidRDefault="00A01042" w:rsidP="00511613">
      <w:pPr>
        <w:spacing w:line="312" w:lineRule="auto"/>
        <w:jc w:val="both"/>
      </w:pPr>
    </w:p>
    <w:p w14:paraId="11C5882C" w14:textId="083F5166" w:rsidR="00A01042" w:rsidRPr="00A01042" w:rsidRDefault="00A01042" w:rsidP="00511613">
      <w:pPr>
        <w:spacing w:line="312" w:lineRule="auto"/>
        <w:jc w:val="both"/>
        <w:rPr>
          <w:u w:val="single"/>
        </w:rPr>
      </w:pPr>
      <w:r>
        <w:t xml:space="preserve">a) </w:t>
      </w:r>
      <w:r w:rsidRPr="00A01042">
        <w:rPr>
          <w:u w:val="single"/>
        </w:rPr>
        <w:t>Vorlage eines Typvermessungsberi</w:t>
      </w:r>
      <w:r w:rsidR="007C098B">
        <w:rPr>
          <w:u w:val="single"/>
        </w:rPr>
        <w:t>chts zum beantragten Anlagentyp</w:t>
      </w:r>
    </w:p>
    <w:p w14:paraId="265F410A" w14:textId="02F6AFB4" w:rsidR="009D1359" w:rsidRDefault="009D1359" w:rsidP="00511613">
      <w:pPr>
        <w:spacing w:line="312" w:lineRule="auto"/>
        <w:jc w:val="both"/>
      </w:pPr>
    </w:p>
    <w:p w14:paraId="4CBF2C9C" w14:textId="76FFC889" w:rsidR="009D1359" w:rsidRDefault="00FF6E0D" w:rsidP="00511613">
      <w:pPr>
        <w:spacing w:line="312" w:lineRule="auto"/>
        <w:jc w:val="both"/>
      </w:pPr>
      <w:r>
        <w:t xml:space="preserve">Die Vorlage eines Typvermessungsberichts ermöglicht die Aufnahme des Nachtbetriebs. Es darf nur der Betriebsmodus in Betrieb genommen werden, der im Typvermessungsbericht aufgeführt wird. Nicht aufgeführte Betriebsmodi sind weiterhin im Nachtbetrieb untersagt. </w:t>
      </w:r>
    </w:p>
    <w:p w14:paraId="4DBD3657" w14:textId="1F533883" w:rsidR="00FF6E0D" w:rsidRDefault="00FF6E0D" w:rsidP="00511613">
      <w:pPr>
        <w:spacing w:line="312" w:lineRule="auto"/>
        <w:jc w:val="both"/>
      </w:pPr>
    </w:p>
    <w:p w14:paraId="56ABC14C" w14:textId="44EAFE01" w:rsidR="00FF6E0D" w:rsidRDefault="00FF6E0D" w:rsidP="00511613">
      <w:pPr>
        <w:spacing w:line="312" w:lineRule="auto"/>
        <w:jc w:val="both"/>
      </w:pPr>
      <w:r>
        <w:t>Nach Vorlage des Typvermessungsberichts ist innerhalb von 12 Monaten eine Abnahmemessung durchzuführen (siehe Ziffer 4.3 der aktuellen Hinweise zum Schallimmissionsschutz bei Windkraftanlagen der Bund/Länder-Arbeitsgemeinschaft Immissionsschutz (LAI), Stand 30.06.2016</w:t>
      </w:r>
      <w:r w:rsidR="00035509">
        <w:t>).</w:t>
      </w:r>
    </w:p>
    <w:p w14:paraId="39D6326A" w14:textId="2A4AE238" w:rsidR="009D1359" w:rsidRDefault="009D1359" w:rsidP="00511613">
      <w:pPr>
        <w:spacing w:line="312" w:lineRule="auto"/>
        <w:jc w:val="both"/>
      </w:pPr>
    </w:p>
    <w:p w14:paraId="645EA961" w14:textId="77E3C884" w:rsidR="00FF6E0D" w:rsidRDefault="00FF6E0D" w:rsidP="00FF6E0D">
      <w:pPr>
        <w:spacing w:line="312" w:lineRule="auto"/>
        <w:jc w:val="both"/>
      </w:pPr>
      <w:r>
        <w:t xml:space="preserve">Die Abnahmemessung ist entsprechend der Mess- und Auswertevorschriften der TA Lärm i.V. mit der Technischen Richtlinie für Windenergieanlagen Teil 1 „Bestimmung der Schallemissionswerte“ (Herausgeber: FGW, Fördergesellschaft für Windenergie e.V., Stresemannplatz 4, 24103 Kiel) unter Berücksichtigung der aktuellen Hinweise zum Schallimmissionsschutz bei Windkraftanlagen der Bund/Länder-Arbeitsgemeinschaft Immissionsschutz (LAI), Stand 30.06.2016 (hier insbesondere Ziffer. 5.2) durchzuführen. </w:t>
      </w:r>
    </w:p>
    <w:p w14:paraId="1E94CB3A" w14:textId="77777777" w:rsidR="00FF6E0D" w:rsidRDefault="00FF6E0D" w:rsidP="00FF6E0D">
      <w:pPr>
        <w:spacing w:line="312" w:lineRule="auto"/>
        <w:jc w:val="both"/>
      </w:pPr>
    </w:p>
    <w:p w14:paraId="4D453381" w14:textId="2B7E84FC" w:rsidR="00FF6E0D" w:rsidRDefault="00FF6E0D" w:rsidP="00FF6E0D">
      <w:pPr>
        <w:spacing w:line="312" w:lineRule="auto"/>
        <w:jc w:val="both"/>
      </w:pPr>
      <w:r w:rsidRPr="004C3349">
        <w:t xml:space="preserve">Im Rahmen </w:t>
      </w:r>
      <w:r w:rsidR="00035509">
        <w:t>der</w:t>
      </w:r>
      <w:r w:rsidRPr="004C3349">
        <w:t xml:space="preserve"> </w:t>
      </w:r>
      <w:r>
        <w:t>Abnahmemessung</w:t>
      </w:r>
      <w:r w:rsidRPr="004C3349">
        <w:t xml:space="preserve"> ist </w:t>
      </w:r>
      <w:r>
        <w:t xml:space="preserve">die </w:t>
      </w:r>
      <w:r w:rsidRPr="004C3349">
        <w:t>messtechnisch</w:t>
      </w:r>
      <w:r>
        <w:t>e Bestimmung des</w:t>
      </w:r>
      <w:r w:rsidRPr="004C3349">
        <w:t xml:space="preserve"> Oktavschallleistungspegel</w:t>
      </w:r>
      <w:r>
        <w:t>s bei dem</w:t>
      </w:r>
      <w:r w:rsidRPr="004C3349">
        <w:t xml:space="preserve"> Wind-BIN mit dem höchsten Summenschallleistungspegel </w:t>
      </w:r>
      <w:r>
        <w:t xml:space="preserve">durchzuführen. Mit den Ergebnissen der Abnahmemessung ist eine erneute Schallausbreitungsrechnung nach dem Interimsverfahren durchzuführen. Die entsprechenden Unsicherheiten sind gemäß Ziffer 5.2. Hinweise zum Schallimmissionsschutz bei Windkraftanlagen der Bund/Länder-Arbeitsgemeinschaft Immissionsschutz (LAI), Stand 30.06.2016 anzuwenden. </w:t>
      </w:r>
    </w:p>
    <w:p w14:paraId="72D5C7FB" w14:textId="77777777" w:rsidR="00FF6E0D" w:rsidRPr="00EE7F02" w:rsidRDefault="00FF6E0D" w:rsidP="00FF6E0D">
      <w:pPr>
        <w:spacing w:line="312" w:lineRule="auto"/>
        <w:jc w:val="both"/>
      </w:pPr>
    </w:p>
    <w:p w14:paraId="0E65EC83" w14:textId="77777777" w:rsidR="00FF6E0D" w:rsidRPr="00EE7F02" w:rsidRDefault="00FF6E0D" w:rsidP="00FF6E0D">
      <w:pPr>
        <w:spacing w:line="312" w:lineRule="auto"/>
        <w:jc w:val="both"/>
      </w:pPr>
      <w:r w:rsidRPr="00EE7F02">
        <w:lastRenderedPageBreak/>
        <w:t xml:space="preserve">Die Abnahmemessung ist durch einen anerkannten Sachverständigen nach § 29 b </w:t>
      </w:r>
      <w:proofErr w:type="spellStart"/>
      <w:r w:rsidRPr="00EE7F02">
        <w:t>i.V.m</w:t>
      </w:r>
      <w:proofErr w:type="spellEnd"/>
      <w:r w:rsidRPr="00EE7F02">
        <w:t xml:space="preserve">. § 26, 28 BImSchG, der nachweislich Erfahrungen mit der Messung von Windenergieanlagen hat, </w:t>
      </w:r>
      <w:r>
        <w:t>durchzuführen</w:t>
      </w:r>
      <w:r w:rsidRPr="00EE7F02">
        <w:t>.</w:t>
      </w:r>
    </w:p>
    <w:p w14:paraId="772F08AC" w14:textId="77777777" w:rsidR="00FF6E0D" w:rsidRPr="0093626E" w:rsidRDefault="00FF6E0D" w:rsidP="00FF6E0D">
      <w:pPr>
        <w:spacing w:line="312" w:lineRule="auto"/>
        <w:jc w:val="both"/>
      </w:pPr>
    </w:p>
    <w:p w14:paraId="626C9955" w14:textId="6630A208" w:rsidR="00FF6E0D" w:rsidRPr="0093626E" w:rsidRDefault="00FF6E0D" w:rsidP="00FF6E0D">
      <w:pPr>
        <w:spacing w:line="312" w:lineRule="auto"/>
        <w:jc w:val="both"/>
      </w:pPr>
      <w:r w:rsidRPr="0093626E">
        <w:t xml:space="preserve">Spätestens einen Monat nach Inbetriebnahme </w:t>
      </w:r>
      <w:r>
        <w:t xml:space="preserve">des </w:t>
      </w:r>
      <w:r w:rsidR="00035509">
        <w:t>Nacht</w:t>
      </w:r>
      <w:r>
        <w:t xml:space="preserve">betriebes </w:t>
      </w:r>
      <w:r w:rsidRPr="0093626E">
        <w:t>ist der zuständigen Immissionsschutzbehörde (hier: Landkreis Börde, Amt für Planung und Umwelt, Sachgebiet Immissionsschutz) eine Kopie der Auftragsbestätigung für die Messung zu übersenden.</w:t>
      </w:r>
    </w:p>
    <w:p w14:paraId="7B432C9D" w14:textId="77777777" w:rsidR="00FF6E0D" w:rsidRPr="0093626E" w:rsidRDefault="00FF6E0D" w:rsidP="00FF6E0D">
      <w:pPr>
        <w:spacing w:line="312" w:lineRule="auto"/>
        <w:jc w:val="both"/>
      </w:pPr>
    </w:p>
    <w:p w14:paraId="5B1381F6" w14:textId="77777777" w:rsidR="00FF6E0D" w:rsidRPr="0093626E" w:rsidRDefault="00FF6E0D" w:rsidP="00FF6E0D">
      <w:pPr>
        <w:spacing w:line="312" w:lineRule="auto"/>
        <w:jc w:val="both"/>
      </w:pPr>
      <w:r w:rsidRPr="0093626E">
        <w:t>Vor Durchführung der Messung ist das Messkonzept mit der zuständigen Immissionsschutzbehörde abzustimmen.</w:t>
      </w:r>
    </w:p>
    <w:p w14:paraId="166DAF2F" w14:textId="77777777" w:rsidR="00FF6E0D" w:rsidRPr="0093626E" w:rsidRDefault="00FF6E0D" w:rsidP="00FF6E0D">
      <w:pPr>
        <w:spacing w:line="312" w:lineRule="auto"/>
        <w:jc w:val="both"/>
      </w:pPr>
    </w:p>
    <w:p w14:paraId="08E6585F" w14:textId="31105EED" w:rsidR="00FF6E0D" w:rsidRDefault="00FF6E0D" w:rsidP="00FF6E0D">
      <w:pPr>
        <w:spacing w:line="312" w:lineRule="auto"/>
        <w:jc w:val="both"/>
      </w:pPr>
      <w:r w:rsidRPr="0093626E">
        <w:t>Nach Abschluss der Messung ist der Unteren Immissionsschutzbehörde unaufgefordert ein Exemplar des Messberichts vorzulegen.</w:t>
      </w:r>
    </w:p>
    <w:p w14:paraId="15D552B7" w14:textId="1CFBC217" w:rsidR="00FF6E0D" w:rsidRDefault="00FF6E0D" w:rsidP="00511613">
      <w:pPr>
        <w:spacing w:line="312" w:lineRule="auto"/>
        <w:jc w:val="both"/>
      </w:pPr>
    </w:p>
    <w:p w14:paraId="0151B4D1" w14:textId="231AE1F4" w:rsidR="00FF6E0D" w:rsidRDefault="00035509" w:rsidP="00511613">
      <w:pPr>
        <w:spacing w:line="312" w:lineRule="auto"/>
        <w:jc w:val="both"/>
      </w:pPr>
      <w:proofErr w:type="gramStart"/>
      <w:r>
        <w:t>Erfo</w:t>
      </w:r>
      <w:bookmarkStart w:id="0" w:name="_GoBack"/>
      <w:bookmarkEnd w:id="0"/>
      <w:r>
        <w:t>lgt</w:t>
      </w:r>
      <w:proofErr w:type="gramEnd"/>
      <w:r>
        <w:t xml:space="preserve"> keine Abnahmemessung und keine Vorlage de</w:t>
      </w:r>
      <w:r w:rsidR="00CF700A">
        <w:t>s</w:t>
      </w:r>
      <w:r>
        <w:t xml:space="preserve"> Messbericht</w:t>
      </w:r>
      <w:r w:rsidR="00CF700A">
        <w:t>s</w:t>
      </w:r>
      <w:r>
        <w:t xml:space="preserve"> innerhalb von 12 Monaten nach Einreichung des Typvermessungsberichts, ist die Anlage </w:t>
      </w:r>
      <w:r w:rsidR="00BC2C3D">
        <w:t xml:space="preserve">erneut zur </w:t>
      </w:r>
      <w:r>
        <w:t xml:space="preserve">Nachtzeit von 22:00 bis 06:00 Uhr außer Betrieb zu setzen. </w:t>
      </w:r>
    </w:p>
    <w:p w14:paraId="3A85F0A4" w14:textId="07043467" w:rsidR="00035509" w:rsidRDefault="00035509" w:rsidP="00511613">
      <w:pPr>
        <w:spacing w:line="312" w:lineRule="auto"/>
        <w:jc w:val="both"/>
      </w:pPr>
    </w:p>
    <w:p w14:paraId="475B14AE" w14:textId="0B1910EB" w:rsidR="00035509" w:rsidRPr="005E3A1C" w:rsidRDefault="00035509" w:rsidP="00511613">
      <w:pPr>
        <w:spacing w:line="312" w:lineRule="auto"/>
        <w:jc w:val="both"/>
        <w:rPr>
          <w:u w:val="single"/>
        </w:rPr>
      </w:pPr>
      <w:r w:rsidRPr="005E3A1C">
        <w:rPr>
          <w:u w:val="single"/>
        </w:rPr>
        <w:t xml:space="preserve">b) Vorlage einer Mehrfachvermessung zum beantragten Anlagentyp </w:t>
      </w:r>
    </w:p>
    <w:p w14:paraId="0A1992FE" w14:textId="5FD083A1" w:rsidR="00035509" w:rsidRDefault="00035509" w:rsidP="00511613">
      <w:pPr>
        <w:spacing w:line="312" w:lineRule="auto"/>
        <w:jc w:val="both"/>
      </w:pPr>
    </w:p>
    <w:p w14:paraId="75553738" w14:textId="77777777" w:rsidR="002A3FA1" w:rsidRDefault="002A3FA1" w:rsidP="002A3FA1">
      <w:pPr>
        <w:spacing w:line="312" w:lineRule="auto"/>
        <w:jc w:val="both"/>
      </w:pPr>
      <w:r>
        <w:t xml:space="preserve">Bei der Vorlage eines Mehrfachmessberichts kann auf die Durchführung der Abnahmemessung verzichtet werden. Voraussetzung ist hierbei die Prüfung des vorgelegten Berichts durch die zuständige Untere Immissionsschutzbehörde und die nachfolgende schriftliche Bestätigung über den Verzicht einer Abnahmemessung. </w:t>
      </w:r>
    </w:p>
    <w:p w14:paraId="31AD7403" w14:textId="6A8496F1" w:rsidR="005E3A1C" w:rsidRDefault="005E3A1C" w:rsidP="00511613">
      <w:pPr>
        <w:spacing w:line="312" w:lineRule="auto"/>
        <w:jc w:val="both"/>
      </w:pPr>
    </w:p>
    <w:p w14:paraId="7B9F8486" w14:textId="7EA6E404" w:rsidR="005E3A1C" w:rsidRDefault="005E3A1C" w:rsidP="00511613">
      <w:pPr>
        <w:spacing w:line="312" w:lineRule="auto"/>
        <w:jc w:val="both"/>
      </w:pPr>
      <w:r>
        <w:t xml:space="preserve">Enthält der Mehrfachmessbericht nicht alle beantragten Betriebsmodi des </w:t>
      </w:r>
      <w:r w:rsidR="00411CAF">
        <w:t>genehmigten</w:t>
      </w:r>
      <w:r>
        <w:t xml:space="preserve"> Anlagentyps, können nur die Abnahmemessungen der Betriebsmodi entfallen, die im vorgelegten Mehrfachmessbericht aufgeführt sind. </w:t>
      </w:r>
    </w:p>
    <w:p w14:paraId="27C93521" w14:textId="5F7D49FA" w:rsidR="009D1359" w:rsidRPr="004C3349" w:rsidRDefault="009D1359" w:rsidP="00511613">
      <w:pPr>
        <w:spacing w:line="312" w:lineRule="auto"/>
        <w:jc w:val="both"/>
      </w:pPr>
    </w:p>
    <w:p w14:paraId="1D1B4774" w14:textId="77777777" w:rsidR="0077311B" w:rsidRPr="00B96525" w:rsidRDefault="0077311B" w:rsidP="00511613">
      <w:pPr>
        <w:spacing w:line="312" w:lineRule="auto"/>
        <w:jc w:val="both"/>
      </w:pPr>
    </w:p>
    <w:p w14:paraId="3A90E350" w14:textId="77777777" w:rsidR="00312B07" w:rsidRPr="00B96525" w:rsidRDefault="00D53731" w:rsidP="00511613">
      <w:pPr>
        <w:spacing w:line="312" w:lineRule="auto"/>
        <w:jc w:val="both"/>
        <w:rPr>
          <w:b/>
          <w:bCs/>
          <w:u w:val="single"/>
        </w:rPr>
      </w:pPr>
      <w:r w:rsidRPr="00B96525">
        <w:rPr>
          <w:b/>
          <w:bCs/>
          <w:u w:val="single"/>
        </w:rPr>
        <w:t>Schattenwurf</w:t>
      </w:r>
    </w:p>
    <w:p w14:paraId="636D5A6A" w14:textId="77777777" w:rsidR="00D53731" w:rsidRPr="00537FAF" w:rsidRDefault="00D53731" w:rsidP="00511613">
      <w:pPr>
        <w:spacing w:line="312" w:lineRule="auto"/>
        <w:jc w:val="both"/>
      </w:pPr>
    </w:p>
    <w:p w14:paraId="753272FD" w14:textId="0202BC1E" w:rsidR="00D53731" w:rsidRPr="00537FAF" w:rsidRDefault="001B5973" w:rsidP="00511613">
      <w:pPr>
        <w:spacing w:line="312" w:lineRule="auto"/>
        <w:jc w:val="both"/>
      </w:pPr>
      <w:r w:rsidRPr="00537FAF">
        <w:t xml:space="preserve">Die beantragten Windenergieanlagen </w:t>
      </w:r>
      <w:r w:rsidR="00537FAF" w:rsidRPr="00537FAF">
        <w:t xml:space="preserve">WEA 2 und WEA 3 </w:t>
      </w:r>
      <w:r w:rsidRPr="00537FAF">
        <w:t>sind an eine gemeinsame Schattenwurfabschaltung anzuschließen, welche die Abschaltung der Windenergieanlagen vernetzt steuert.</w:t>
      </w:r>
    </w:p>
    <w:p w14:paraId="2B7255FD" w14:textId="77777777" w:rsidR="001B5973" w:rsidRPr="00537FAF" w:rsidRDefault="001B5973" w:rsidP="00511613">
      <w:pPr>
        <w:spacing w:line="312" w:lineRule="auto"/>
        <w:jc w:val="both"/>
      </w:pPr>
    </w:p>
    <w:p w14:paraId="5C598AF9" w14:textId="248E0B2B" w:rsidR="001B5973" w:rsidRPr="00C82AA0" w:rsidRDefault="001B5973" w:rsidP="00511613">
      <w:pPr>
        <w:spacing w:line="312" w:lineRule="auto"/>
        <w:jc w:val="both"/>
      </w:pPr>
      <w:r w:rsidRPr="00537FAF">
        <w:t xml:space="preserve">Die Daten zur Sonnenscheindauer und Abschaltzeiten sind von der Steuereinheit der WEA für jeden </w:t>
      </w:r>
      <w:r w:rsidR="00537FAF" w:rsidRPr="00537FAF">
        <w:t xml:space="preserve">betroffenen </w:t>
      </w:r>
      <w:r w:rsidRPr="00537FAF">
        <w:t>Immissionspunkt zu registrieren. Ebenfalls zu registrieren sind technische Störungen des Schattenwurfmoduls und des Strahlungssensor</w:t>
      </w:r>
      <w:r w:rsidR="002B4801" w:rsidRPr="00537FAF">
        <w:t>s</w:t>
      </w:r>
      <w:r w:rsidRPr="00537FAF">
        <w:t xml:space="preserve">. Die registrierten Daten sind </w:t>
      </w:r>
      <w:r w:rsidRPr="00C82AA0">
        <w:t>mindestens zwei Jahre aufzubewahren und der Behörde auf Verlangen vorzuzeigen.</w:t>
      </w:r>
    </w:p>
    <w:p w14:paraId="723557E8" w14:textId="77777777" w:rsidR="00286DC5" w:rsidRPr="00C82AA0" w:rsidRDefault="00286DC5" w:rsidP="00511613">
      <w:pPr>
        <w:spacing w:line="312" w:lineRule="auto"/>
        <w:jc w:val="both"/>
      </w:pPr>
    </w:p>
    <w:p w14:paraId="037A5D3D" w14:textId="42D0B3A6" w:rsidR="00286DC5" w:rsidRPr="00C82AA0" w:rsidRDefault="000D148F" w:rsidP="00C82AA0">
      <w:pPr>
        <w:spacing w:line="312" w:lineRule="auto"/>
        <w:jc w:val="both"/>
      </w:pPr>
      <w:r w:rsidRPr="00C82AA0">
        <w:lastRenderedPageBreak/>
        <w:t>An den Immissions</w:t>
      </w:r>
      <w:r w:rsidR="00286DC5" w:rsidRPr="00C82AA0">
        <w:t xml:space="preserve">punkten </w:t>
      </w:r>
      <w:r w:rsidR="00537FAF" w:rsidRPr="00C82AA0">
        <w:t>C, D und E</w:t>
      </w:r>
      <w:r w:rsidR="00C82AA0" w:rsidRPr="00C82AA0">
        <w:t xml:space="preserve"> </w:t>
      </w:r>
      <w:r w:rsidR="00286DC5" w:rsidRPr="00C82AA0">
        <w:t xml:space="preserve">darf </w:t>
      </w:r>
      <w:r w:rsidR="00537FAF" w:rsidRPr="00C82AA0">
        <w:t xml:space="preserve">nach dem Erreichen der maximal zulässigen Schattenwurfzeiten </w:t>
      </w:r>
      <w:r w:rsidR="00C82AA0" w:rsidRPr="00C82AA0">
        <w:t xml:space="preserve">kein </w:t>
      </w:r>
      <w:r w:rsidR="00286DC5" w:rsidRPr="00C82AA0">
        <w:t>Schatten durch die beantragten Winde</w:t>
      </w:r>
      <w:r w:rsidR="00C82AA0" w:rsidRPr="00C82AA0">
        <w:t>nergieanlagen verursacht werden (siehe LAI- Hinweise zu WKA-Schattenwurf vom 23.01.2020 – Ziffer 1.3).</w:t>
      </w:r>
    </w:p>
    <w:p w14:paraId="0857ADAD" w14:textId="77777777" w:rsidR="001B5973" w:rsidRPr="00C82AA0" w:rsidRDefault="001B5973" w:rsidP="00511613">
      <w:pPr>
        <w:spacing w:line="312" w:lineRule="auto"/>
        <w:jc w:val="both"/>
      </w:pPr>
    </w:p>
    <w:p w14:paraId="26AE8863" w14:textId="77777777" w:rsidR="001B5973" w:rsidRPr="00C82AA0" w:rsidRDefault="001B5973" w:rsidP="00511613">
      <w:pPr>
        <w:spacing w:line="312" w:lineRule="auto"/>
        <w:jc w:val="both"/>
      </w:pPr>
      <w:r w:rsidRPr="00C82AA0">
        <w:t>Mindestens eine Woche vor Inbetriebnahme ist vom Hersteller der Anlagen eine Fachunternehmererklärung vorzulegen, wonach ersichtlich ist, wie die Abschaltung bei Schattenwurf, bezogen auf den jeweiligen Immissionspunkt, maschinentechnisch gesteuert wird und somit die Nebenbestimmungen zum Schattenwurf eingehalten werden.</w:t>
      </w:r>
    </w:p>
    <w:p w14:paraId="10B2FCD5" w14:textId="77777777" w:rsidR="00D53731" w:rsidRPr="00C82AA0" w:rsidRDefault="00D53731" w:rsidP="00511613">
      <w:pPr>
        <w:spacing w:line="312" w:lineRule="auto"/>
        <w:jc w:val="both"/>
      </w:pPr>
    </w:p>
    <w:p w14:paraId="3D9A3A11" w14:textId="77777777" w:rsidR="00312B07" w:rsidRPr="00C82AA0" w:rsidRDefault="001B5973" w:rsidP="00511613">
      <w:pPr>
        <w:spacing w:line="312" w:lineRule="auto"/>
        <w:jc w:val="both"/>
        <w:rPr>
          <w:b/>
          <w:bCs/>
          <w:u w:val="single"/>
        </w:rPr>
      </w:pPr>
      <w:r w:rsidRPr="00C82AA0">
        <w:rPr>
          <w:b/>
          <w:bCs/>
          <w:u w:val="single"/>
        </w:rPr>
        <w:t>Lichtimmissionen</w:t>
      </w:r>
    </w:p>
    <w:p w14:paraId="60B26AFA" w14:textId="77777777" w:rsidR="001B5973" w:rsidRPr="00C82AA0" w:rsidRDefault="001B5973" w:rsidP="00511613">
      <w:pPr>
        <w:spacing w:line="312" w:lineRule="auto"/>
        <w:jc w:val="both"/>
      </w:pPr>
    </w:p>
    <w:p w14:paraId="37BED9A1" w14:textId="77777777" w:rsidR="004A5808" w:rsidRPr="008A17E7" w:rsidRDefault="004A5808" w:rsidP="00511613">
      <w:pPr>
        <w:spacing w:line="312" w:lineRule="auto"/>
        <w:jc w:val="both"/>
      </w:pPr>
      <w:r w:rsidRPr="00C82AA0">
        <w:t xml:space="preserve">Zur Vermeidung der Lichtreflexionen sind die WEA mit nicht reflektierenden Farben matter Glanzgrade </w:t>
      </w:r>
      <w:r w:rsidRPr="008A17E7">
        <w:t>zu beschichten.</w:t>
      </w:r>
    </w:p>
    <w:p w14:paraId="2FAFC30A" w14:textId="77777777" w:rsidR="004A5808" w:rsidRPr="008A17E7" w:rsidRDefault="004A5808" w:rsidP="00511613">
      <w:pPr>
        <w:spacing w:line="312" w:lineRule="auto"/>
        <w:jc w:val="both"/>
      </w:pPr>
    </w:p>
    <w:p w14:paraId="04DA3067" w14:textId="77777777" w:rsidR="001B5973" w:rsidRPr="008A17E7" w:rsidRDefault="001B5973" w:rsidP="00511613">
      <w:pPr>
        <w:spacing w:line="312" w:lineRule="auto"/>
        <w:jc w:val="both"/>
      </w:pPr>
      <w:r w:rsidRPr="008A17E7">
        <w:t>Mit Inbetriebnahme der WEA ist zu gewährleisten, dass eine sichtweitenabhängige Helligkeitsregulierung der Nachtbefeuerung gegeben ist.</w:t>
      </w:r>
    </w:p>
    <w:p w14:paraId="417F83C2" w14:textId="77777777" w:rsidR="003D1DC0" w:rsidRPr="008A17E7" w:rsidRDefault="003D1DC0" w:rsidP="00511613">
      <w:pPr>
        <w:spacing w:line="312" w:lineRule="auto"/>
        <w:jc w:val="both"/>
      </w:pPr>
    </w:p>
    <w:p w14:paraId="53EE86FC" w14:textId="77777777" w:rsidR="004A5808" w:rsidRPr="008A17E7" w:rsidRDefault="004A5808" w:rsidP="00511613">
      <w:pPr>
        <w:spacing w:line="312" w:lineRule="auto"/>
        <w:jc w:val="both"/>
        <w:rPr>
          <w:u w:val="single"/>
        </w:rPr>
      </w:pPr>
      <w:r w:rsidRPr="008A17E7">
        <w:rPr>
          <w:u w:val="single"/>
        </w:rPr>
        <w:t>Immissionsschutzrechtliche Ergänzung zu den Nebenbestimmungen der Flugsicherung</w:t>
      </w:r>
    </w:p>
    <w:p w14:paraId="00BD65C4" w14:textId="77777777" w:rsidR="00492A17" w:rsidRPr="008A17E7" w:rsidRDefault="00492A17" w:rsidP="00511613">
      <w:pPr>
        <w:spacing w:line="312" w:lineRule="auto"/>
        <w:jc w:val="both"/>
      </w:pPr>
    </w:p>
    <w:p w14:paraId="7CF5B91C" w14:textId="77777777" w:rsidR="003D1DC0" w:rsidRPr="008A17E7" w:rsidRDefault="003D1DC0" w:rsidP="00511613">
      <w:pPr>
        <w:spacing w:line="312" w:lineRule="auto"/>
        <w:jc w:val="both"/>
        <w:rPr>
          <w:rFonts w:ascii="Times New Roman" w:hAnsi="Times New Roman" w:cs="Times New Roman"/>
        </w:rPr>
      </w:pPr>
      <w:r w:rsidRPr="008A17E7">
        <w:t>Die Abstrahlung der für die Tages- und Nachtkennzeichnung eingesetzten Feuer ist so weit nach unten zu begrenzen, wie es unter Einhaltung der technischen Spezifikation in der „Allgemeine Verwaltungsvorschrift zur Kennzeichnung von Luftfahrthindernissen“ (AVV), Anhang 1 und 3 zulässig ist. Die Nennlichtstärke der Tages- und Nachbefeuerung ist mittels einer Sichtweitenmessung zu steuern. Dabei muss ein vom Deutschen Wetterdienst anerkanntes meteorologisches Sichtweitenmessgerät eingesetzt werden. Die Installation und der Betrieb müssen sich nach Anhang 4 der AVV</w:t>
      </w:r>
      <w:r w:rsidR="002B4801" w:rsidRPr="008A17E7">
        <w:t xml:space="preserve"> zur Kennzeichnung von Luftfahrthindernissen</w:t>
      </w:r>
      <w:r w:rsidRPr="008A17E7">
        <w:t xml:space="preserve"> richten.</w:t>
      </w:r>
    </w:p>
    <w:p w14:paraId="79CB6E1E" w14:textId="77777777" w:rsidR="00312B07" w:rsidRPr="008A17E7" w:rsidRDefault="00312B07" w:rsidP="00511613">
      <w:pPr>
        <w:spacing w:line="312" w:lineRule="auto"/>
        <w:jc w:val="both"/>
      </w:pPr>
    </w:p>
    <w:p w14:paraId="0C4C5F86" w14:textId="6140403A" w:rsidR="00312B07" w:rsidRPr="008A17E7" w:rsidRDefault="003D1DC0" w:rsidP="00511613">
      <w:pPr>
        <w:spacing w:line="312" w:lineRule="auto"/>
        <w:jc w:val="both"/>
      </w:pPr>
      <w:r w:rsidRPr="008A17E7">
        <w:t xml:space="preserve">Zur Vermeidung der Belästigungswirkung für die Anwohner sind die Blinkfrequenzen der Befeuerungseinrichtungen der </w:t>
      </w:r>
      <w:r w:rsidR="008A17E7" w:rsidRPr="008A17E7">
        <w:t>drei</w:t>
      </w:r>
      <w:r w:rsidRPr="008A17E7">
        <w:t xml:space="preserve"> Windenergieanlagen gemäß Ziffer 13 der AVV</w:t>
      </w:r>
      <w:r w:rsidR="002B4801" w:rsidRPr="008A17E7">
        <w:t xml:space="preserve"> zur Kennzeichnung von Luftfahrthindernissen</w:t>
      </w:r>
      <w:r w:rsidRPr="008A17E7">
        <w:t xml:space="preserve"> zu synchronisieren.</w:t>
      </w:r>
    </w:p>
    <w:p w14:paraId="68F95D70" w14:textId="77777777" w:rsidR="00312B07" w:rsidRPr="008A17E7" w:rsidRDefault="00312B07" w:rsidP="00511613">
      <w:pPr>
        <w:spacing w:line="312" w:lineRule="auto"/>
        <w:jc w:val="both"/>
      </w:pPr>
    </w:p>
    <w:p w14:paraId="41826FA6" w14:textId="77777777" w:rsidR="003D1DC0" w:rsidRPr="00813343" w:rsidRDefault="003D1DC0" w:rsidP="00511613">
      <w:pPr>
        <w:spacing w:line="312" w:lineRule="auto"/>
        <w:jc w:val="both"/>
      </w:pPr>
      <w:r w:rsidRPr="008A17E7">
        <w:t xml:space="preserve">Zur </w:t>
      </w:r>
      <w:r w:rsidRPr="00813343">
        <w:t>Vermeidung der Belästigungswirkung für die Anwohner ist die tägliche Betriebszeit der Nachtbefeuerung zu minimieren, indem die Umschaltung durch den Dämmerungsschalter für die In- und Außerbetriebnahme auf den gemäß Ziffer 8.1 der AVV</w:t>
      </w:r>
      <w:r w:rsidR="002B4801" w:rsidRPr="00813343">
        <w:t xml:space="preserve"> zur Kennzeichnung von Luftfahrthindernissen</w:t>
      </w:r>
      <w:r w:rsidRPr="00813343">
        <w:t xml:space="preserve"> minimal zulässigen Wert von 50 Lux eingestellt wird.</w:t>
      </w:r>
    </w:p>
    <w:p w14:paraId="4402049A" w14:textId="77777777" w:rsidR="002B4801" w:rsidRPr="00813343" w:rsidRDefault="002B4801" w:rsidP="00511613">
      <w:pPr>
        <w:spacing w:line="312" w:lineRule="auto"/>
        <w:jc w:val="both"/>
      </w:pPr>
    </w:p>
    <w:p w14:paraId="1C7764DC" w14:textId="77777777" w:rsidR="002046CA" w:rsidRPr="00813343" w:rsidRDefault="00CE6C83" w:rsidP="00511613">
      <w:pPr>
        <w:spacing w:line="312" w:lineRule="auto"/>
        <w:jc w:val="both"/>
      </w:pPr>
      <w:r w:rsidRPr="00813343">
        <w:t xml:space="preserve">Das System für die Bedarfsgesteuerte Nachtkennzeichnung (BNK) ist gemäß </w:t>
      </w:r>
      <w:r w:rsidR="000D148F" w:rsidRPr="00813343">
        <w:t>den Antragsunterlagen</w:t>
      </w:r>
      <w:r w:rsidRPr="00813343">
        <w:t xml:space="preserve"> zu installieren und betreiben. </w:t>
      </w:r>
    </w:p>
    <w:p w14:paraId="2B650864" w14:textId="77777777" w:rsidR="002046CA" w:rsidRPr="00813343" w:rsidRDefault="002046CA" w:rsidP="00511613">
      <w:pPr>
        <w:spacing w:line="312" w:lineRule="auto"/>
        <w:jc w:val="both"/>
      </w:pPr>
    </w:p>
    <w:p w14:paraId="5DFFAE35" w14:textId="77777777" w:rsidR="0014014A" w:rsidRPr="00813343" w:rsidRDefault="0014014A" w:rsidP="00511613">
      <w:pPr>
        <w:spacing w:line="312" w:lineRule="auto"/>
        <w:jc w:val="both"/>
        <w:rPr>
          <w:b/>
          <w:u w:val="single"/>
        </w:rPr>
      </w:pPr>
      <w:proofErr w:type="spellStart"/>
      <w:r w:rsidRPr="00813343">
        <w:rPr>
          <w:b/>
          <w:u w:val="single"/>
        </w:rPr>
        <w:t>Eiswurf</w:t>
      </w:r>
      <w:proofErr w:type="spellEnd"/>
    </w:p>
    <w:p w14:paraId="34CB04D7" w14:textId="77777777" w:rsidR="001001C1" w:rsidRPr="00813343" w:rsidRDefault="001001C1" w:rsidP="00511613">
      <w:pPr>
        <w:spacing w:line="312" w:lineRule="auto"/>
        <w:jc w:val="both"/>
      </w:pPr>
    </w:p>
    <w:p w14:paraId="6B8580EC" w14:textId="7F15A142" w:rsidR="001001C1" w:rsidRPr="008A17E7" w:rsidRDefault="001001C1" w:rsidP="00511613">
      <w:pPr>
        <w:spacing w:line="312" w:lineRule="auto"/>
        <w:jc w:val="both"/>
      </w:pPr>
      <w:r w:rsidRPr="00813343">
        <w:lastRenderedPageBreak/>
        <w:t xml:space="preserve">Eine Woche </w:t>
      </w:r>
      <w:r w:rsidRPr="008A17E7">
        <w:t xml:space="preserve">vor Inbetriebnahme der </w:t>
      </w:r>
      <w:r w:rsidR="008A17E7" w:rsidRPr="008A17E7">
        <w:t>drei</w:t>
      </w:r>
      <w:r w:rsidR="00813343">
        <w:t xml:space="preserve"> </w:t>
      </w:r>
      <w:r w:rsidRPr="008A17E7">
        <w:t>Windenergieanlage</w:t>
      </w:r>
      <w:r w:rsidR="008A17E7" w:rsidRPr="008A17E7">
        <w:t>n</w:t>
      </w:r>
      <w:r w:rsidRPr="008A17E7">
        <w:t xml:space="preserve"> vom Anlagentyp </w:t>
      </w:r>
      <w:r w:rsidR="008A17E7" w:rsidRPr="008A17E7">
        <w:t>NORDEX N149 5.X STE</w:t>
      </w:r>
      <w:r w:rsidRPr="008A17E7">
        <w:t xml:space="preserve"> ist der zuständigen Überwachungsbehörde der Nachweis des Herstellers oder des Fachunternehmers über die Installation des Eiserkennungssystems inkl. Programmierung des manuellen Einschaltvorgangs sowie eine Bestätigung, dass das System betriebssicher ist, vorzulegen.</w:t>
      </w:r>
    </w:p>
    <w:p w14:paraId="7BAFCF3F" w14:textId="77777777" w:rsidR="001001C1" w:rsidRPr="008A17E7" w:rsidRDefault="001001C1" w:rsidP="00511613">
      <w:pPr>
        <w:spacing w:line="312" w:lineRule="auto"/>
        <w:jc w:val="both"/>
      </w:pPr>
    </w:p>
    <w:p w14:paraId="22AEAB49" w14:textId="77777777" w:rsidR="001001C1" w:rsidRPr="008A17E7" w:rsidRDefault="001001C1" w:rsidP="00511613">
      <w:pPr>
        <w:spacing w:line="312" w:lineRule="auto"/>
        <w:jc w:val="both"/>
        <w:rPr>
          <w:sz w:val="18"/>
          <w:szCs w:val="18"/>
        </w:rPr>
      </w:pPr>
      <w:r w:rsidRPr="008A17E7">
        <w:t xml:space="preserve">Als Hinweis auf die verbleibende Gefährdung durch Eisabfall bei Rotorstillstand oder </w:t>
      </w:r>
      <w:proofErr w:type="spellStart"/>
      <w:r w:rsidRPr="008A17E7">
        <w:t>Trudelbetrieb</w:t>
      </w:r>
      <w:proofErr w:type="spellEnd"/>
      <w:r w:rsidRPr="008A17E7">
        <w:t>, sind entsprechende Warnschilder bei allen Windenergieanlagen sichtbar anzubringen</w:t>
      </w:r>
      <w:r w:rsidRPr="008A17E7">
        <w:rPr>
          <w:sz w:val="18"/>
          <w:szCs w:val="18"/>
        </w:rPr>
        <w:t>.</w:t>
      </w:r>
    </w:p>
    <w:p w14:paraId="21EDCBB0" w14:textId="77777777" w:rsidR="002B4801" w:rsidRPr="008A17E7" w:rsidRDefault="002B4801" w:rsidP="00511613">
      <w:pPr>
        <w:spacing w:line="312" w:lineRule="auto"/>
        <w:jc w:val="both"/>
        <w:rPr>
          <w:sz w:val="18"/>
          <w:szCs w:val="18"/>
        </w:rPr>
      </w:pPr>
    </w:p>
    <w:p w14:paraId="3AABF34F" w14:textId="77777777" w:rsidR="002B4801" w:rsidRPr="00813343" w:rsidRDefault="002B4801" w:rsidP="00511613">
      <w:pPr>
        <w:spacing w:line="312" w:lineRule="auto"/>
        <w:jc w:val="both"/>
        <w:rPr>
          <w:b/>
          <w:u w:val="single"/>
        </w:rPr>
      </w:pPr>
      <w:r w:rsidRPr="00813343">
        <w:rPr>
          <w:b/>
          <w:u w:val="single"/>
        </w:rPr>
        <w:t>Betriebseinstellung</w:t>
      </w:r>
    </w:p>
    <w:p w14:paraId="71A1E567" w14:textId="77777777" w:rsidR="002B4801" w:rsidRPr="00813343" w:rsidRDefault="002B4801" w:rsidP="00511613">
      <w:pPr>
        <w:spacing w:line="312" w:lineRule="auto"/>
        <w:jc w:val="both"/>
        <w:rPr>
          <w:b/>
          <w:u w:val="single"/>
        </w:rPr>
      </w:pPr>
    </w:p>
    <w:p w14:paraId="6AEA9A19" w14:textId="77777777" w:rsidR="002B4801" w:rsidRPr="00813343" w:rsidRDefault="002B4801" w:rsidP="00511613">
      <w:pPr>
        <w:pStyle w:val="Default"/>
        <w:numPr>
          <w:ilvl w:val="0"/>
          <w:numId w:val="21"/>
        </w:numPr>
        <w:spacing w:line="312" w:lineRule="auto"/>
        <w:jc w:val="both"/>
        <w:rPr>
          <w:color w:val="auto"/>
          <w:sz w:val="22"/>
          <w:szCs w:val="22"/>
        </w:rPr>
      </w:pPr>
      <w:r w:rsidRPr="00813343">
        <w:rPr>
          <w:color w:val="auto"/>
          <w:sz w:val="22"/>
          <w:szCs w:val="22"/>
        </w:rPr>
        <w:t>Besteht die Absicht, den Betrieb der Anlagen einzustellen, ist dies der für den Immissionsschutz zuständigen Überwachungsbehörde unter Angabe des Zeitpunktes der Einstellung unverzüglich, jedoch spätestens 4 Wochen, nachdem die unternehmerische Entscheidung hierzu getroffen wurde und bevor die Absicht durch erste Stilllegungsvorbereitungen nach außen hin erkennbar wird, anzuzeigen. Die gemäß § 15 Abs. 3 BImSchG der Anzeige zur Betriebseinstellung beizufügenden Unterlagen müssen insbesondere folgende Angaben enthalten:</w:t>
      </w:r>
    </w:p>
    <w:p w14:paraId="4526B0AF" w14:textId="77777777" w:rsidR="002B4801" w:rsidRPr="00813343" w:rsidRDefault="002B4801" w:rsidP="00511613">
      <w:pPr>
        <w:pStyle w:val="Default"/>
        <w:spacing w:line="312" w:lineRule="auto"/>
        <w:ind w:left="720"/>
        <w:jc w:val="both"/>
        <w:rPr>
          <w:color w:val="auto"/>
          <w:sz w:val="22"/>
          <w:szCs w:val="22"/>
        </w:rPr>
      </w:pPr>
    </w:p>
    <w:p w14:paraId="7855104C"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die weitere Verwendung der Anlage und des Betriebsgrundstücks (Verkauf, Abbruch, andere Nutzung, bloße Stilllegung usw.),</w:t>
      </w:r>
    </w:p>
    <w:p w14:paraId="725F34EF"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bei einem Abbruch der Anlage der Verbleib der dabei anfallenden Materialien,</w:t>
      </w:r>
    </w:p>
    <w:p w14:paraId="497EA272"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bei einer bloßen Stilllegung die vorgesehenen Maßnahmen zum Schutz vor den Folgen natürlicher Einwirkungen (Korrosion, Materialermüdung usw.) und vor dem Betreten des Anlagengeländes durch Unbefugte,</w:t>
      </w:r>
    </w:p>
    <w:p w14:paraId="1A2ABF5D"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die zum Zeitpunkt der Betriebseinstellung voraussichtlich vorhandenen Einsatzstoffe und Erzeugnisse und deren Verbleib,</w:t>
      </w:r>
    </w:p>
    <w:p w14:paraId="74FC255A"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durch den Betrieb möglicherweise verursachte Bodenverunreinigungen und die vorgesehenen Maßnahmen zu deren Beseitigung,</w:t>
      </w:r>
    </w:p>
    <w:p w14:paraId="0831F458"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die zum Zeitpunkt der Betriebseinstellung voraussichtlich vorhandenen Abfälle und deren Entsorgung (Nachweis des Abnehmers) sowie</w:t>
      </w:r>
    </w:p>
    <w:p w14:paraId="7F77972D" w14:textId="77777777" w:rsidR="002B4801" w:rsidRPr="00813343" w:rsidRDefault="002B4801" w:rsidP="00511613">
      <w:pPr>
        <w:pStyle w:val="Default"/>
        <w:numPr>
          <w:ilvl w:val="1"/>
          <w:numId w:val="21"/>
        </w:numPr>
        <w:spacing w:line="312" w:lineRule="auto"/>
        <w:jc w:val="both"/>
        <w:rPr>
          <w:color w:val="auto"/>
          <w:sz w:val="22"/>
          <w:szCs w:val="22"/>
        </w:rPr>
      </w:pPr>
      <w:r w:rsidRPr="00813343">
        <w:rPr>
          <w:color w:val="auto"/>
          <w:sz w:val="22"/>
          <w:szCs w:val="22"/>
        </w:rPr>
        <w:t>bei einer Beseitigung der Abfälle die Begründung, warum eine Verwertung technisch nicht möglich oder unzumutbar ist.</w:t>
      </w:r>
    </w:p>
    <w:p w14:paraId="29EF96EE" w14:textId="77777777" w:rsidR="002B4801" w:rsidRPr="00813343" w:rsidRDefault="002B4801" w:rsidP="00511613">
      <w:pPr>
        <w:pStyle w:val="Default"/>
        <w:spacing w:line="312" w:lineRule="auto"/>
        <w:ind w:left="720"/>
        <w:jc w:val="both"/>
        <w:rPr>
          <w:color w:val="auto"/>
          <w:sz w:val="22"/>
          <w:szCs w:val="22"/>
        </w:rPr>
      </w:pPr>
    </w:p>
    <w:p w14:paraId="677DEC6B" w14:textId="77777777" w:rsidR="002B4801" w:rsidRPr="00813343" w:rsidRDefault="002B4801" w:rsidP="00511613">
      <w:pPr>
        <w:pStyle w:val="Default"/>
        <w:numPr>
          <w:ilvl w:val="0"/>
          <w:numId w:val="21"/>
        </w:numPr>
        <w:spacing w:line="312" w:lineRule="auto"/>
        <w:jc w:val="both"/>
        <w:rPr>
          <w:color w:val="auto"/>
          <w:sz w:val="22"/>
          <w:szCs w:val="22"/>
        </w:rPr>
      </w:pPr>
      <w:r w:rsidRPr="00813343">
        <w:rPr>
          <w:color w:val="auto"/>
          <w:sz w:val="22"/>
          <w:szCs w:val="22"/>
        </w:rPr>
        <w:t>Vor der Betriebseinstellung der Anlage sind die Anlagenteile unter Beachtung rechtlicher Vorschriften vollständig zu entleeren und so zu behandeln, dass sie gefahrlos geöffnet und demontiert werden können.</w:t>
      </w:r>
    </w:p>
    <w:p w14:paraId="64E3BB68" w14:textId="77777777" w:rsidR="002B4801" w:rsidRPr="00813343" w:rsidRDefault="002B4801" w:rsidP="00511613">
      <w:pPr>
        <w:pStyle w:val="Default"/>
        <w:spacing w:line="312" w:lineRule="auto"/>
        <w:ind w:left="720"/>
        <w:jc w:val="both"/>
        <w:rPr>
          <w:color w:val="auto"/>
          <w:sz w:val="22"/>
          <w:szCs w:val="22"/>
        </w:rPr>
      </w:pPr>
    </w:p>
    <w:p w14:paraId="0F996C43" w14:textId="77777777" w:rsidR="002B4801" w:rsidRPr="00813343" w:rsidRDefault="002B4801" w:rsidP="00511613">
      <w:pPr>
        <w:pStyle w:val="Default"/>
        <w:numPr>
          <w:ilvl w:val="0"/>
          <w:numId w:val="21"/>
        </w:numPr>
        <w:spacing w:line="312" w:lineRule="auto"/>
        <w:jc w:val="both"/>
        <w:rPr>
          <w:color w:val="auto"/>
          <w:sz w:val="22"/>
          <w:szCs w:val="22"/>
        </w:rPr>
      </w:pPr>
      <w:r w:rsidRPr="00813343">
        <w:rPr>
          <w:color w:val="auto"/>
          <w:sz w:val="22"/>
          <w:szCs w:val="22"/>
        </w:rPr>
        <w:t>Die Abfälle sind einer geeigneten ordnungsgemäßen Entsorgung zuzuführen. Sie sind primär der Wiederverwertung und - soweit dies nicht möglich oder unverhältnismäßig ist - einer ordnungsgemäßen und schadlosen Beseitigung zuzuführen.</w:t>
      </w:r>
    </w:p>
    <w:p w14:paraId="0BDAF3E6" w14:textId="77777777" w:rsidR="002B4801" w:rsidRPr="00813343" w:rsidRDefault="002B4801" w:rsidP="00511613">
      <w:pPr>
        <w:pStyle w:val="Listenabsatz"/>
        <w:spacing w:line="312" w:lineRule="auto"/>
      </w:pPr>
    </w:p>
    <w:p w14:paraId="69CB82D0" w14:textId="77777777" w:rsidR="002B4801" w:rsidRPr="00813343" w:rsidRDefault="002B4801" w:rsidP="00511613">
      <w:pPr>
        <w:pStyle w:val="Default"/>
        <w:numPr>
          <w:ilvl w:val="0"/>
          <w:numId w:val="21"/>
        </w:numPr>
        <w:spacing w:line="312" w:lineRule="auto"/>
        <w:jc w:val="both"/>
        <w:rPr>
          <w:color w:val="auto"/>
          <w:sz w:val="22"/>
          <w:szCs w:val="22"/>
        </w:rPr>
      </w:pPr>
      <w:r w:rsidRPr="00813343">
        <w:rPr>
          <w:color w:val="auto"/>
          <w:sz w:val="22"/>
          <w:szCs w:val="22"/>
        </w:rPr>
        <w:lastRenderedPageBreak/>
        <w:t>Im Falle einer Betriebseinstellung sind zur ordnungsgemäßen Erfüllung der Pflichten nach § 5 Abs. 3 BImSchG sachkundige Personen zu beschäftigen.</w:t>
      </w:r>
    </w:p>
    <w:p w14:paraId="3F66519C" w14:textId="77777777" w:rsidR="002B4801" w:rsidRPr="00813343" w:rsidRDefault="002B4801" w:rsidP="00511613">
      <w:pPr>
        <w:pStyle w:val="Listenabsatz"/>
        <w:spacing w:line="312" w:lineRule="auto"/>
      </w:pPr>
    </w:p>
    <w:p w14:paraId="5355A4AA" w14:textId="77777777" w:rsidR="002B4801" w:rsidRPr="00813343" w:rsidRDefault="002B4801" w:rsidP="00511613">
      <w:pPr>
        <w:pStyle w:val="Default"/>
        <w:numPr>
          <w:ilvl w:val="0"/>
          <w:numId w:val="21"/>
        </w:numPr>
        <w:spacing w:line="312" w:lineRule="auto"/>
        <w:jc w:val="both"/>
        <w:rPr>
          <w:color w:val="auto"/>
          <w:sz w:val="22"/>
          <w:szCs w:val="22"/>
        </w:rPr>
      </w:pPr>
      <w:r w:rsidRPr="00813343">
        <w:rPr>
          <w:color w:val="auto"/>
          <w:sz w:val="22"/>
          <w:szCs w:val="22"/>
        </w:rPr>
        <w:t>Auch nach der Betriebseinstellung ist das Anlagengrundstück solange gegen den Zutritt Unbefugter zu sichern, bis keine Gefahren mehr von diesem ausgehen können.</w:t>
      </w:r>
    </w:p>
    <w:p w14:paraId="179AE32E" w14:textId="77777777" w:rsidR="002B4801" w:rsidRPr="00813343" w:rsidRDefault="002B4801" w:rsidP="00511613">
      <w:pPr>
        <w:pStyle w:val="Listenabsatz"/>
        <w:spacing w:line="312" w:lineRule="auto"/>
      </w:pPr>
    </w:p>
    <w:p w14:paraId="2C0A11E3" w14:textId="77777777" w:rsidR="002B4801" w:rsidRPr="00813343" w:rsidRDefault="002B4801" w:rsidP="00511613">
      <w:pPr>
        <w:pStyle w:val="Default"/>
        <w:numPr>
          <w:ilvl w:val="0"/>
          <w:numId w:val="21"/>
        </w:numPr>
        <w:spacing w:line="312" w:lineRule="auto"/>
        <w:jc w:val="both"/>
        <w:rPr>
          <w:b/>
          <w:color w:val="auto"/>
          <w:sz w:val="22"/>
          <w:szCs w:val="22"/>
          <w:u w:val="single"/>
        </w:rPr>
      </w:pPr>
      <w:r w:rsidRPr="00813343">
        <w:rPr>
          <w:color w:val="auto"/>
          <w:sz w:val="22"/>
          <w:szCs w:val="22"/>
        </w:rPr>
        <w:t xml:space="preserve">Nach Betriebseinstellung ist der Standort zu beräumen. Alle Anlagen und versiegelten Flächen sind vollständig zurückzubauen. </w:t>
      </w:r>
    </w:p>
    <w:p w14:paraId="195CF175" w14:textId="77777777" w:rsidR="002B4801" w:rsidRPr="00813343" w:rsidRDefault="002B4801" w:rsidP="00511613">
      <w:pPr>
        <w:pStyle w:val="Listenabsatz"/>
        <w:spacing w:line="312" w:lineRule="auto"/>
      </w:pPr>
    </w:p>
    <w:p w14:paraId="1DA7CDA1" w14:textId="77777777" w:rsidR="002B4801" w:rsidRPr="00813343" w:rsidRDefault="00511613" w:rsidP="00511613">
      <w:pPr>
        <w:pStyle w:val="Default"/>
        <w:spacing w:line="312" w:lineRule="auto"/>
        <w:jc w:val="both"/>
        <w:rPr>
          <w:b/>
          <w:color w:val="auto"/>
          <w:sz w:val="22"/>
          <w:szCs w:val="22"/>
          <w:u w:val="single"/>
        </w:rPr>
      </w:pPr>
      <w:r w:rsidRPr="00813343">
        <w:rPr>
          <w:b/>
          <w:color w:val="auto"/>
          <w:sz w:val="22"/>
          <w:szCs w:val="22"/>
          <w:u w:val="single"/>
        </w:rPr>
        <w:t xml:space="preserve">II. </w:t>
      </w:r>
      <w:r w:rsidR="002B4801" w:rsidRPr="00813343">
        <w:rPr>
          <w:b/>
          <w:color w:val="auto"/>
          <w:sz w:val="22"/>
          <w:szCs w:val="22"/>
          <w:u w:val="single"/>
        </w:rPr>
        <w:t xml:space="preserve">Allgemeine Hinweise </w:t>
      </w:r>
    </w:p>
    <w:p w14:paraId="49884ED6" w14:textId="77777777" w:rsidR="002B4801" w:rsidRPr="00813343" w:rsidRDefault="002B4801" w:rsidP="00511613">
      <w:pPr>
        <w:pStyle w:val="Default"/>
        <w:spacing w:line="312" w:lineRule="auto"/>
        <w:jc w:val="both"/>
        <w:rPr>
          <w:color w:val="auto"/>
          <w:sz w:val="22"/>
          <w:szCs w:val="22"/>
        </w:rPr>
      </w:pPr>
    </w:p>
    <w:p w14:paraId="0D454E2C" w14:textId="77777777" w:rsidR="002B4801" w:rsidRPr="00813343" w:rsidRDefault="002B4801" w:rsidP="0006213A">
      <w:pPr>
        <w:pStyle w:val="Listenabsatz"/>
        <w:numPr>
          <w:ilvl w:val="0"/>
          <w:numId w:val="21"/>
        </w:numPr>
        <w:autoSpaceDE w:val="0"/>
        <w:autoSpaceDN w:val="0"/>
        <w:adjustRightInd w:val="0"/>
        <w:spacing w:line="312" w:lineRule="auto"/>
        <w:jc w:val="both"/>
        <w:rPr>
          <w:rFonts w:eastAsia="Calibri"/>
        </w:rPr>
      </w:pPr>
      <w:r w:rsidRPr="00813343">
        <w:rPr>
          <w:rFonts w:eastAsia="Calibri"/>
        </w:rPr>
        <w:t xml:space="preserve">Eine Ordnungswidrigkeit begeht, wer vorsätzlich oder fahrlässig gegen die in § 62 (1) und </w:t>
      </w:r>
      <w:r w:rsidR="0006213A" w:rsidRPr="00813343">
        <w:rPr>
          <w:rFonts w:eastAsia="Calibri"/>
        </w:rPr>
        <w:t>(</w:t>
      </w:r>
      <w:r w:rsidRPr="00813343">
        <w:rPr>
          <w:rFonts w:eastAsia="Calibri"/>
        </w:rPr>
        <w:t>2</w:t>
      </w:r>
      <w:r w:rsidR="0006213A" w:rsidRPr="00813343">
        <w:rPr>
          <w:rFonts w:eastAsia="Calibri"/>
        </w:rPr>
        <w:t>)</w:t>
      </w:r>
      <w:r w:rsidRPr="00813343">
        <w:rPr>
          <w:rFonts w:eastAsia="Calibri"/>
        </w:rPr>
        <w:t xml:space="preserve"> BImSchG genannten Bestimmungen verstößt, hier insbesondere </w:t>
      </w:r>
    </w:p>
    <w:p w14:paraId="36D4AD13" w14:textId="77777777" w:rsidR="002B4801" w:rsidRPr="00813343" w:rsidRDefault="002B4801" w:rsidP="00511613">
      <w:pPr>
        <w:autoSpaceDE w:val="0"/>
        <w:autoSpaceDN w:val="0"/>
        <w:adjustRightInd w:val="0"/>
        <w:spacing w:line="312" w:lineRule="auto"/>
        <w:jc w:val="both"/>
        <w:rPr>
          <w:rFonts w:eastAsia="Calibri"/>
        </w:rPr>
      </w:pPr>
    </w:p>
    <w:p w14:paraId="1800897F" w14:textId="77777777" w:rsidR="002B4801" w:rsidRPr="00813343" w:rsidRDefault="002B4801" w:rsidP="0006213A">
      <w:pPr>
        <w:pStyle w:val="Listenabsatz"/>
        <w:numPr>
          <w:ilvl w:val="0"/>
          <w:numId w:val="24"/>
        </w:numPr>
        <w:autoSpaceDE w:val="0"/>
        <w:autoSpaceDN w:val="0"/>
        <w:adjustRightInd w:val="0"/>
        <w:spacing w:line="312" w:lineRule="auto"/>
        <w:jc w:val="both"/>
        <w:rPr>
          <w:rFonts w:eastAsia="Calibri"/>
        </w:rPr>
      </w:pPr>
      <w:r w:rsidRPr="00813343">
        <w:rPr>
          <w:rFonts w:eastAsia="Calibri"/>
        </w:rPr>
        <w:t xml:space="preserve">eine vollziehbare Auflage nicht, nicht richtig, nicht vollständig oder nicht rechtzeitig erfüllt (§ 62 (1) Nr. 3 BImSchG),  </w:t>
      </w:r>
    </w:p>
    <w:p w14:paraId="67A78D93" w14:textId="77777777" w:rsidR="002B4801" w:rsidRPr="00813343" w:rsidRDefault="002B4801" w:rsidP="00511613">
      <w:pPr>
        <w:autoSpaceDE w:val="0"/>
        <w:autoSpaceDN w:val="0"/>
        <w:adjustRightInd w:val="0"/>
        <w:spacing w:line="312" w:lineRule="auto"/>
        <w:jc w:val="both"/>
        <w:rPr>
          <w:rFonts w:eastAsia="Calibri"/>
        </w:rPr>
      </w:pPr>
    </w:p>
    <w:p w14:paraId="21EF2256" w14:textId="77777777" w:rsidR="002B4801" w:rsidRPr="00067A4D" w:rsidRDefault="002B4801" w:rsidP="0006213A">
      <w:pPr>
        <w:pStyle w:val="Listenabsatz"/>
        <w:numPr>
          <w:ilvl w:val="0"/>
          <w:numId w:val="24"/>
        </w:numPr>
        <w:autoSpaceDE w:val="0"/>
        <w:autoSpaceDN w:val="0"/>
        <w:adjustRightInd w:val="0"/>
        <w:spacing w:line="312" w:lineRule="auto"/>
        <w:jc w:val="both"/>
        <w:rPr>
          <w:rFonts w:eastAsia="Calibri"/>
        </w:rPr>
      </w:pPr>
      <w:r w:rsidRPr="00813343">
        <w:rPr>
          <w:rFonts w:eastAsia="Calibri"/>
        </w:rPr>
        <w:t>die Lage</w:t>
      </w:r>
      <w:r w:rsidRPr="00067A4D">
        <w:rPr>
          <w:rFonts w:eastAsia="Calibri"/>
        </w:rPr>
        <w:t>, die Beschaffenheit oder den Betrieb einer genehmigungsbedürftigen Anlage ohne Genehmigung nach § 16 (1) BImSchG wesentlich ändert (§ 62 (1) Nr. 4 BImSchG) oder eine nicht wesentliche Änderung ohne die nach § 15 (1) BI</w:t>
      </w:r>
      <w:r w:rsidR="004A5808" w:rsidRPr="00067A4D">
        <w:rPr>
          <w:rFonts w:eastAsia="Calibri"/>
        </w:rPr>
        <w:t>mSchG erforderliche Anzeige vor</w:t>
      </w:r>
      <w:r w:rsidRPr="00067A4D">
        <w:rPr>
          <w:rFonts w:eastAsia="Calibri"/>
        </w:rPr>
        <w:t xml:space="preserve">nimmt bzw. diese Anzeige nicht richtig, nicht vollständig oder nicht rechtzeitig (mind. einen Monat vor der geplanten Änderung) einreicht (§ 62 (2) Nr. 1 BImSchG), </w:t>
      </w:r>
    </w:p>
    <w:p w14:paraId="6E05003A" w14:textId="77777777" w:rsidR="002B4801" w:rsidRPr="00067A4D" w:rsidRDefault="002B4801" w:rsidP="00511613">
      <w:pPr>
        <w:autoSpaceDE w:val="0"/>
        <w:autoSpaceDN w:val="0"/>
        <w:adjustRightInd w:val="0"/>
        <w:spacing w:line="312" w:lineRule="auto"/>
        <w:jc w:val="both"/>
        <w:rPr>
          <w:rFonts w:eastAsia="Calibri"/>
        </w:rPr>
      </w:pPr>
    </w:p>
    <w:p w14:paraId="50E699BF" w14:textId="77777777" w:rsidR="002B4801" w:rsidRPr="00067A4D" w:rsidRDefault="002B4801" w:rsidP="0006213A">
      <w:pPr>
        <w:pStyle w:val="Listenabsatz"/>
        <w:numPr>
          <w:ilvl w:val="0"/>
          <w:numId w:val="24"/>
        </w:numPr>
        <w:autoSpaceDE w:val="0"/>
        <w:autoSpaceDN w:val="0"/>
        <w:adjustRightInd w:val="0"/>
        <w:spacing w:line="312" w:lineRule="auto"/>
        <w:jc w:val="both"/>
        <w:rPr>
          <w:rFonts w:eastAsia="Calibri"/>
        </w:rPr>
      </w:pPr>
      <w:r w:rsidRPr="00067A4D">
        <w:rPr>
          <w:rFonts w:eastAsia="Calibri"/>
        </w:rPr>
        <w:t xml:space="preserve">die Einstellung des Betriebs der genehmigungsbedürftigen Anlage unter Benennung des geplanten Einstellungstermins nicht unverzüglich anzeigt (§ 62 (2) Nr. 1 BImSchG). </w:t>
      </w:r>
    </w:p>
    <w:p w14:paraId="39A504C9" w14:textId="77777777" w:rsidR="002B4801" w:rsidRPr="00067A4D" w:rsidRDefault="002B4801" w:rsidP="00511613">
      <w:pPr>
        <w:pStyle w:val="Default"/>
        <w:spacing w:line="312" w:lineRule="auto"/>
        <w:jc w:val="both"/>
        <w:rPr>
          <w:color w:val="auto"/>
          <w:sz w:val="22"/>
          <w:szCs w:val="22"/>
        </w:rPr>
      </w:pPr>
    </w:p>
    <w:p w14:paraId="0AB5690A" w14:textId="77777777" w:rsidR="002B4801" w:rsidRPr="00067A4D" w:rsidRDefault="002B4801" w:rsidP="0006213A">
      <w:pPr>
        <w:pStyle w:val="Default"/>
        <w:numPr>
          <w:ilvl w:val="0"/>
          <w:numId w:val="21"/>
        </w:numPr>
        <w:spacing w:line="312" w:lineRule="auto"/>
        <w:jc w:val="both"/>
        <w:rPr>
          <w:color w:val="auto"/>
          <w:sz w:val="22"/>
          <w:szCs w:val="22"/>
        </w:rPr>
      </w:pPr>
      <w:r w:rsidRPr="00067A4D">
        <w:rPr>
          <w:color w:val="auto"/>
          <w:sz w:val="22"/>
          <w:szCs w:val="22"/>
        </w:rPr>
        <w:t xml:space="preserve">Ordnungswidrigkeiten können mit Geldbuße geahndet werden. </w:t>
      </w:r>
    </w:p>
    <w:p w14:paraId="6C8B6C30" w14:textId="77777777" w:rsidR="002B4801" w:rsidRPr="00067A4D" w:rsidRDefault="002B4801" w:rsidP="00511613">
      <w:pPr>
        <w:pStyle w:val="Default"/>
        <w:spacing w:line="312" w:lineRule="auto"/>
        <w:jc w:val="both"/>
        <w:rPr>
          <w:color w:val="auto"/>
          <w:sz w:val="22"/>
          <w:szCs w:val="22"/>
        </w:rPr>
      </w:pPr>
    </w:p>
    <w:p w14:paraId="3BC2592F" w14:textId="77777777" w:rsidR="002B4801" w:rsidRPr="00067A4D" w:rsidRDefault="002B4801" w:rsidP="00511613">
      <w:pPr>
        <w:pStyle w:val="Default"/>
        <w:spacing w:line="312" w:lineRule="auto"/>
        <w:jc w:val="both"/>
        <w:rPr>
          <w:b/>
          <w:color w:val="auto"/>
          <w:sz w:val="22"/>
          <w:szCs w:val="22"/>
        </w:rPr>
      </w:pPr>
      <w:r w:rsidRPr="00067A4D">
        <w:rPr>
          <w:b/>
          <w:color w:val="auto"/>
          <w:sz w:val="22"/>
          <w:szCs w:val="22"/>
        </w:rPr>
        <w:t>Immissionsschutzrechtliche Hinweise</w:t>
      </w:r>
    </w:p>
    <w:p w14:paraId="29E441B5" w14:textId="77777777" w:rsidR="002B4801" w:rsidRPr="00067A4D" w:rsidRDefault="002B4801" w:rsidP="00511613">
      <w:pPr>
        <w:pStyle w:val="Default"/>
        <w:spacing w:line="312" w:lineRule="auto"/>
        <w:jc w:val="both"/>
        <w:rPr>
          <w:color w:val="auto"/>
          <w:sz w:val="22"/>
          <w:szCs w:val="22"/>
        </w:rPr>
      </w:pPr>
    </w:p>
    <w:p w14:paraId="34B98A3B" w14:textId="77777777" w:rsidR="002B4801" w:rsidRPr="00067A4D" w:rsidRDefault="002B4801" w:rsidP="00511613">
      <w:pPr>
        <w:spacing w:line="312" w:lineRule="auto"/>
        <w:jc w:val="both"/>
      </w:pPr>
      <w:r w:rsidRPr="00067A4D">
        <w:t>Unbeschadet des § 16 Abs.1 BImSchG ist der Betreiber verpflichtet, der jeweils zuständigen Überwachungsbehörde gemäß § 15 Abs.1 BImSchG die Änderung der Lage, der Beschaffenheit oder des Betriebes der Anlage mindestens einen Monat, bevor mit der Änderung begonnen werden soll, schriftlich anzuzeigen, wenn sich die Änderung auf in § 1 BImSchG genannte Schutzgüter auswirken kann.</w:t>
      </w:r>
    </w:p>
    <w:p w14:paraId="4CF8CC3B" w14:textId="77777777" w:rsidR="00277B80" w:rsidRPr="00067A4D" w:rsidRDefault="00277B80" w:rsidP="00511613">
      <w:pPr>
        <w:spacing w:line="312" w:lineRule="auto"/>
        <w:jc w:val="both"/>
      </w:pPr>
    </w:p>
    <w:p w14:paraId="7FBFC241" w14:textId="77777777" w:rsidR="002B4801" w:rsidRPr="00067A4D" w:rsidRDefault="002B4801" w:rsidP="00511613">
      <w:pPr>
        <w:spacing w:line="312" w:lineRule="auto"/>
        <w:jc w:val="both"/>
      </w:pPr>
      <w:r w:rsidRPr="00067A4D">
        <w:t>Wird nach Erteilung der Genehmigung festgestellt, dass die Allgemeinheit oder die Nachbarschaft nicht ausreichend vor schädlichen Umwelteinwirkungen oder sonstigen Gefahren, erheblichen Nachteilen oder erheblichen Belästigungen geschützt ist, kann die zuständige Behörde nachträgliche Anordnungen gemäß § 17 BImSchG treffen.</w:t>
      </w:r>
    </w:p>
    <w:p w14:paraId="7A8C3B1C" w14:textId="77777777" w:rsidR="002B4801" w:rsidRPr="00067A4D" w:rsidRDefault="002B4801" w:rsidP="00511613">
      <w:pPr>
        <w:spacing w:line="312" w:lineRule="auto"/>
        <w:jc w:val="both"/>
      </w:pPr>
    </w:p>
    <w:p w14:paraId="70C498FB" w14:textId="77777777" w:rsidR="00277B80" w:rsidRPr="00067A4D" w:rsidRDefault="002B4801" w:rsidP="00511613">
      <w:pPr>
        <w:spacing w:line="312" w:lineRule="auto"/>
        <w:jc w:val="both"/>
      </w:pPr>
      <w:r w:rsidRPr="00067A4D">
        <w:lastRenderedPageBreak/>
        <w:t>Kommt der Betreiber einer genehmigungsbedürftigen Anlage einer Auflage oder vollziehbaren nachträglichen Anordnung nicht nach und betreffen die Auflage oder die nachträgliche Anordnung die Beschaffenheit oder den Betrieb der Anlage, so kann die zuständige Behörde den Betrieb der Anlage ganz oder teilweise bis zur Erfüllung der Auflage oder Anordnung entsprechend § 20 BImSchG untersagen.</w:t>
      </w:r>
    </w:p>
    <w:p w14:paraId="412DC01B" w14:textId="77777777" w:rsidR="002B4801" w:rsidRPr="00067A4D" w:rsidRDefault="002B4801" w:rsidP="00511613">
      <w:pPr>
        <w:spacing w:line="312" w:lineRule="auto"/>
        <w:jc w:val="both"/>
      </w:pPr>
      <w:r w:rsidRPr="00067A4D">
        <w:t>Beabsichtigt die Betreiberin den Betrieb der Anlage einzustellen, so hat Sie dies unter Angabe des Zeitpunktes der Einstellung der für den Immissionsschutz zuständigen Überwachungsbehörde vorab anzuzeigen. Gemäß § 17 Abs. 4a BImSchG können nach der Einstellung des gesamten Betriebs Anordnungen zur Erfüllung der sich aus § 5 Abs. 3 BImSchG ergebenden Pflichten, somit auch bezüglich der Nachsorge nach einer Betriebseinstellung, noch während eines Zeitraums von einem Jahr getroffen werden.</w:t>
      </w:r>
    </w:p>
    <w:p w14:paraId="132FAD71" w14:textId="77777777" w:rsidR="002B4801" w:rsidRPr="00067A4D" w:rsidRDefault="002B4801" w:rsidP="00511613">
      <w:pPr>
        <w:pStyle w:val="Default"/>
        <w:spacing w:line="312" w:lineRule="auto"/>
        <w:jc w:val="both"/>
        <w:rPr>
          <w:b/>
          <w:color w:val="auto"/>
          <w:sz w:val="22"/>
          <w:szCs w:val="22"/>
          <w:u w:val="single"/>
        </w:rPr>
      </w:pPr>
      <w:r w:rsidRPr="00067A4D">
        <w:rPr>
          <w:color w:val="auto"/>
          <w:sz w:val="22"/>
          <w:szCs w:val="22"/>
        </w:rPr>
        <w:t xml:space="preserve"> </w:t>
      </w:r>
    </w:p>
    <w:p w14:paraId="271D9587" w14:textId="77777777" w:rsidR="003A419C" w:rsidRPr="00067A4D" w:rsidRDefault="00511613" w:rsidP="00511613">
      <w:pPr>
        <w:spacing w:line="312" w:lineRule="auto"/>
        <w:jc w:val="both"/>
        <w:rPr>
          <w:b/>
          <w:bCs/>
          <w:u w:val="single"/>
        </w:rPr>
      </w:pPr>
      <w:r w:rsidRPr="00067A4D">
        <w:rPr>
          <w:b/>
          <w:bCs/>
          <w:u w:val="single"/>
        </w:rPr>
        <w:t xml:space="preserve">III. </w:t>
      </w:r>
      <w:r w:rsidR="0014014A" w:rsidRPr="00067A4D">
        <w:rPr>
          <w:b/>
          <w:bCs/>
          <w:u w:val="single"/>
        </w:rPr>
        <w:t>Begründung</w:t>
      </w:r>
    </w:p>
    <w:p w14:paraId="34FE2ED7" w14:textId="77777777" w:rsidR="0014014A" w:rsidRPr="001C5CBF" w:rsidRDefault="0014014A" w:rsidP="00511613">
      <w:pPr>
        <w:spacing w:line="312" w:lineRule="auto"/>
        <w:jc w:val="both"/>
      </w:pPr>
    </w:p>
    <w:p w14:paraId="1657BCEF" w14:textId="77777777" w:rsidR="0002199A" w:rsidRPr="001C5CBF" w:rsidRDefault="00747FA3" w:rsidP="00511613">
      <w:pPr>
        <w:spacing w:line="312" w:lineRule="auto"/>
        <w:jc w:val="both"/>
        <w:rPr>
          <w:b/>
          <w:u w:val="single"/>
        </w:rPr>
      </w:pPr>
      <w:r w:rsidRPr="001C5CBF">
        <w:rPr>
          <w:b/>
          <w:u w:val="single"/>
        </w:rPr>
        <w:t>Lärmschutz</w:t>
      </w:r>
    </w:p>
    <w:p w14:paraId="408646D8" w14:textId="7D01FCC7" w:rsidR="00C264DE" w:rsidRPr="001C5CBF" w:rsidRDefault="00C264DE" w:rsidP="00511613">
      <w:pPr>
        <w:spacing w:line="312" w:lineRule="auto"/>
        <w:jc w:val="both"/>
      </w:pPr>
    </w:p>
    <w:p w14:paraId="7367154B" w14:textId="764B6676" w:rsidR="00C264DE" w:rsidRPr="001C5CBF" w:rsidRDefault="00C264DE" w:rsidP="00511613">
      <w:pPr>
        <w:spacing w:line="312" w:lineRule="auto"/>
        <w:jc w:val="both"/>
      </w:pPr>
      <w:r w:rsidRPr="001C5CBF">
        <w:t xml:space="preserve">Gemäß § 5 Abs. 1 Nr. 2 sind genehmigungsbedürftige Anlagen so zu errichten und zu betreiben, dass schädliche Umwelteinwirkungen und sonstige Gefahren, erhebliche Nachteile und erhebliche Belästigungen für die Allgemeinheit und die Nachbarschaft nicht hervorgerufen werden können. Die Vorsorge gegen schädliche Umwelteinwirkungen und Gefahren wird insbesondere durch den Einsatz von Maßnahmen, die dem Stand der Technik gemäß § 3 Abs. 6 BImSchG entsprechen, getroffen. </w:t>
      </w:r>
    </w:p>
    <w:p w14:paraId="07F049C6" w14:textId="77777777" w:rsidR="00C264DE" w:rsidRPr="001C5CBF" w:rsidRDefault="00C264DE" w:rsidP="00511613">
      <w:pPr>
        <w:spacing w:line="312" w:lineRule="auto"/>
        <w:jc w:val="both"/>
      </w:pPr>
    </w:p>
    <w:p w14:paraId="447D65F4" w14:textId="794CFA5F" w:rsidR="0014014A" w:rsidRPr="005757E7" w:rsidRDefault="00AC14C4" w:rsidP="00511613">
      <w:pPr>
        <w:spacing w:line="312" w:lineRule="auto"/>
        <w:jc w:val="both"/>
      </w:pPr>
      <w:r w:rsidRPr="001C5CBF">
        <w:t xml:space="preserve">Von den Windenergieanlagen gehen Schallimmissionen in Form von mechanischen und aerodynamischen Geräuschen während des Betriebs aus. </w:t>
      </w:r>
      <w:r w:rsidR="006407C6" w:rsidRPr="001C5CBF">
        <w:t>Im Rahmen des Genehmigungsverfahren</w:t>
      </w:r>
      <w:r w:rsidR="00C456B4" w:rsidRPr="001C5CBF">
        <w:t>s</w:t>
      </w:r>
      <w:r w:rsidR="006407C6" w:rsidRPr="001C5CBF">
        <w:t xml:space="preserve"> wurde durch </w:t>
      </w:r>
      <w:r w:rsidR="00067A4D" w:rsidRPr="001C5CBF">
        <w:t>das</w:t>
      </w:r>
      <w:r w:rsidRPr="001C5CBF">
        <w:t xml:space="preserve"> </w:t>
      </w:r>
      <w:r w:rsidR="00067A4D" w:rsidRPr="001C5CBF">
        <w:t xml:space="preserve">Ingenieurbüro </w:t>
      </w:r>
      <w:proofErr w:type="spellStart"/>
      <w:r w:rsidR="00067A4D" w:rsidRPr="001C5CBF">
        <w:t>PLANkon</w:t>
      </w:r>
      <w:proofErr w:type="spellEnd"/>
      <w:r w:rsidR="007B7550" w:rsidRPr="001C5CBF">
        <w:t xml:space="preserve">, mit Bericht </w:t>
      </w:r>
      <w:r w:rsidR="00067A4D" w:rsidRPr="001C5CBF">
        <w:t>Nr. PK 2013052-SLG-B vom 19.12.2023</w:t>
      </w:r>
      <w:r w:rsidR="006407C6" w:rsidRPr="001C5CBF">
        <w:t xml:space="preserve"> eine Schallimmissionsprognose nach dem Interimsverfahren</w:t>
      </w:r>
      <w:r w:rsidR="00D26B85" w:rsidRPr="001C5CBF">
        <w:t xml:space="preserve"> entsprechend den LAI-Hinweisen zum Schallimmissionsschutz an Windkraftanlagen</w:t>
      </w:r>
      <w:r w:rsidR="006407C6" w:rsidRPr="001C5CBF">
        <w:t xml:space="preserve"> </w:t>
      </w:r>
      <w:r w:rsidR="00D26B85" w:rsidRPr="001C5CBF">
        <w:t xml:space="preserve">sowie </w:t>
      </w:r>
      <w:r w:rsidRPr="005757E7">
        <w:t xml:space="preserve">gemäß der TA-Lärm nach DIN ISO 9613-2 </w:t>
      </w:r>
      <w:r w:rsidR="00D26B85" w:rsidRPr="005757E7">
        <w:t>alternativen Verfahren durchgeführt.</w:t>
      </w:r>
    </w:p>
    <w:p w14:paraId="19BD2586" w14:textId="7DF41452" w:rsidR="005552D0" w:rsidRPr="005757E7" w:rsidRDefault="005552D0" w:rsidP="00511613">
      <w:pPr>
        <w:spacing w:line="312" w:lineRule="auto"/>
        <w:jc w:val="both"/>
      </w:pPr>
    </w:p>
    <w:p w14:paraId="17BC8933" w14:textId="32D495D2" w:rsidR="00305E2E" w:rsidRPr="00FD09CF" w:rsidRDefault="00305E2E" w:rsidP="00511613">
      <w:pPr>
        <w:spacing w:line="312" w:lineRule="auto"/>
        <w:jc w:val="both"/>
      </w:pPr>
      <w:r w:rsidRPr="00FD09CF">
        <w:t xml:space="preserve">Die Prognose wurde auf Basis von Herstellerangaben erstellt. Gemäß Ziffer 3 </w:t>
      </w:r>
      <w:r w:rsidR="00FD09CF">
        <w:t xml:space="preserve">der </w:t>
      </w:r>
      <w:r w:rsidRPr="00FD09CF">
        <w:t xml:space="preserve">Hinweise zum Schallimmissionsschutz bei Windkraftanlagen der Bund/Länder-Arbeitsgemeinschaft Immissionsschutz (LAI), Stand 30.06.2016 wird festgeschrieben, dass die </w:t>
      </w:r>
      <w:r w:rsidR="004D616F" w:rsidRPr="00FD09CF">
        <w:t>Prognose unter Zuschlag der oberen Vertrauensbereichsgrenze (mit einem Vertrauensniveau von 90 %) ers</w:t>
      </w:r>
      <w:r w:rsidR="006E7A46" w:rsidRPr="00FD09CF">
        <w:t xml:space="preserve">tellt </w:t>
      </w:r>
      <w:r w:rsidR="00E36D8F">
        <w:t>werden muss</w:t>
      </w:r>
      <w:r w:rsidR="006E7A46" w:rsidRPr="00FD09CF">
        <w:t xml:space="preserve">. Der Eingangswert </w:t>
      </w:r>
      <w:proofErr w:type="gramStart"/>
      <w:r w:rsidR="006E7A46" w:rsidRPr="00FD09CF">
        <w:rPr>
          <w:sz w:val="18"/>
          <w:szCs w:val="18"/>
        </w:rPr>
        <w:t>L</w:t>
      </w:r>
      <w:r w:rsidR="006E7A46" w:rsidRPr="00FD09CF">
        <w:rPr>
          <w:sz w:val="18"/>
          <w:szCs w:val="18"/>
          <w:vertAlign w:val="subscript"/>
        </w:rPr>
        <w:t>o,Okt</w:t>
      </w:r>
      <w:proofErr w:type="gramEnd"/>
      <w:r w:rsidR="006E7A46" w:rsidRPr="00FD09CF">
        <w:rPr>
          <w:sz w:val="18"/>
          <w:szCs w:val="18"/>
        </w:rPr>
        <w:t xml:space="preserve"> </w:t>
      </w:r>
      <w:r w:rsidR="006E7A46" w:rsidRPr="00FD09CF">
        <w:t xml:space="preserve">der Schallimmissionsprognose ergibt sich wie folgt: </w:t>
      </w:r>
      <w:r w:rsidR="004D616F" w:rsidRPr="00FD09CF">
        <w:t xml:space="preserve"> </w:t>
      </w:r>
    </w:p>
    <w:p w14:paraId="5FB831F4" w14:textId="53F39E8A" w:rsidR="006E7A46" w:rsidRPr="00FD09CF" w:rsidRDefault="006E7A46" w:rsidP="00511613">
      <w:pPr>
        <w:spacing w:line="312" w:lineRule="auto"/>
        <w:jc w:val="both"/>
      </w:pPr>
    </w:p>
    <w:p w14:paraId="25B55162" w14:textId="778DABA5" w:rsidR="005757E7" w:rsidRPr="00FD09CF" w:rsidRDefault="00910A00" w:rsidP="00511613">
      <w:pPr>
        <w:spacing w:line="312" w:lineRule="auto"/>
        <w:jc w:val="both"/>
      </w:pPr>
      <m:oMathPara>
        <m:oMath>
          <m:sSub>
            <m:sSubPr>
              <m:ctrlPr>
                <w:rPr>
                  <w:rFonts w:ascii="Cambria Math" w:hAnsi="Cambria Math"/>
                  <w:i/>
                </w:rPr>
              </m:ctrlPr>
            </m:sSubPr>
            <m:e>
              <m:r>
                <w:rPr>
                  <w:rFonts w:ascii="Cambria Math" w:hAnsi="Cambria Math"/>
                </w:rPr>
                <m:t>L</m:t>
              </m:r>
            </m:e>
            <m:sub>
              <m:r>
                <w:rPr>
                  <w:rFonts w:ascii="Cambria Math" w:hAnsi="Cambria Math"/>
                </w:rPr>
                <m:t>o,Okt</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W,Okt</m:t>
              </m:r>
            </m:sub>
          </m:sSub>
          <m:r>
            <w:rPr>
              <w:rFonts w:ascii="Cambria Math" w:hAnsi="Cambria Math"/>
            </w:rPr>
            <m:t>+1,28∙</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P</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Prog</m:t>
                  </m:r>
                </m:sub>
                <m:sup>
                  <m:r>
                    <w:rPr>
                      <w:rFonts w:ascii="Cambria Math" w:hAnsi="Cambria Math"/>
                    </w:rPr>
                    <m:t>2</m:t>
                  </m:r>
                </m:sup>
              </m:sSubSup>
            </m:e>
          </m:ra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W,Okt</m:t>
              </m:r>
            </m:sub>
          </m:sSub>
          <m:r>
            <w:rPr>
              <w:rFonts w:ascii="Cambria Math" w:hAnsi="Cambria Math"/>
            </w:rPr>
            <m:t>+1,28∙</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2</m:t>
                  </m:r>
                </m:sup>
              </m:sSup>
            </m:e>
          </m:rad>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W,Okt</m:t>
              </m:r>
            </m:sub>
          </m:sSub>
          <m:r>
            <w:rPr>
              <w:rFonts w:ascii="Cambria Math" w:hAnsi="Cambria Math"/>
            </w:rPr>
            <m:t>+2,1</m:t>
          </m:r>
        </m:oMath>
      </m:oMathPara>
    </w:p>
    <w:p w14:paraId="7E5A8842" w14:textId="77777777" w:rsidR="00FD09CF" w:rsidRPr="00FD09CF" w:rsidRDefault="00FD09CF" w:rsidP="00511613">
      <w:pPr>
        <w:spacing w:line="312" w:lineRule="auto"/>
        <w:jc w:val="both"/>
      </w:pPr>
    </w:p>
    <w:p w14:paraId="6393FD5F" w14:textId="2CE9E3B0" w:rsidR="005757E7" w:rsidRDefault="005757E7" w:rsidP="00511613">
      <w:pPr>
        <w:spacing w:line="312" w:lineRule="auto"/>
        <w:jc w:val="both"/>
      </w:pPr>
      <w:r w:rsidRPr="00FD09CF">
        <w:t xml:space="preserve">Die Werte für die Unsicherheiten </w:t>
      </w:r>
      <w:proofErr w:type="spellStart"/>
      <w:r w:rsidRPr="00FD09CF">
        <w:t>σ</w:t>
      </w:r>
      <w:r w:rsidRPr="00FD09CF">
        <w:rPr>
          <w:vertAlign w:val="subscript"/>
        </w:rPr>
        <w:t>R</w:t>
      </w:r>
      <w:proofErr w:type="spellEnd"/>
      <w:r w:rsidRPr="00FD09CF">
        <w:t xml:space="preserve"> (Messunsicherheit), </w:t>
      </w:r>
      <w:proofErr w:type="spellStart"/>
      <w:r w:rsidRPr="00FD09CF">
        <w:t>σ</w:t>
      </w:r>
      <w:r w:rsidRPr="00FD09CF">
        <w:rPr>
          <w:vertAlign w:val="subscript"/>
        </w:rPr>
        <w:t>P</w:t>
      </w:r>
      <w:proofErr w:type="spellEnd"/>
      <w:r w:rsidRPr="00FD09CF">
        <w:t xml:space="preserve"> (Serienstreuung) und </w:t>
      </w:r>
      <w:proofErr w:type="spellStart"/>
      <w:r w:rsidRPr="00FD09CF">
        <w:t>σ</w:t>
      </w:r>
      <w:r w:rsidRPr="00FD09CF">
        <w:rPr>
          <w:vertAlign w:val="subscript"/>
        </w:rPr>
        <w:t>Prog</w:t>
      </w:r>
      <w:proofErr w:type="spellEnd"/>
      <w:r w:rsidRPr="00FD09CF">
        <w:t xml:space="preserve"> (Prognosemodell) werden in Ziffer 3 der LAI-Hinweise zum Schallimmissionsschutz bei Windkraftanlagen geregelt. </w:t>
      </w:r>
    </w:p>
    <w:p w14:paraId="23D0AE02" w14:textId="10707376" w:rsidR="00FD09CF" w:rsidRDefault="00FD09CF" w:rsidP="00511613">
      <w:pPr>
        <w:spacing w:line="312" w:lineRule="auto"/>
        <w:jc w:val="both"/>
      </w:pPr>
    </w:p>
    <w:p w14:paraId="450A3A94" w14:textId="3DB0C491" w:rsidR="00FD09CF" w:rsidRPr="00D87AF1" w:rsidRDefault="00FD09CF" w:rsidP="00511613">
      <w:pPr>
        <w:spacing w:line="312" w:lineRule="auto"/>
        <w:jc w:val="both"/>
      </w:pPr>
      <w:r>
        <w:t xml:space="preserve">Gemäß Ziffer 4.1 der </w:t>
      </w:r>
      <w:r w:rsidRPr="00FD09CF">
        <w:t>Hinweise zum Schallimmissionsschutz bei Windkraftanlagen der Bund/</w:t>
      </w:r>
      <w:r w:rsidRPr="00B12728">
        <w:t xml:space="preserve">Länder-Arbeitsgemeinschaft Immissionsschutz (LAI), Stand 30.06.2016 soll </w:t>
      </w:r>
      <w:proofErr w:type="spellStart"/>
      <w:proofErr w:type="gramStart"/>
      <w:r w:rsidRPr="00B12728">
        <w:t>L</w:t>
      </w:r>
      <w:r w:rsidRPr="00B12728">
        <w:rPr>
          <w:vertAlign w:val="subscript"/>
        </w:rPr>
        <w:t>e,max</w:t>
      </w:r>
      <w:proofErr w:type="spellEnd"/>
      <w:proofErr w:type="gramEnd"/>
      <w:r w:rsidRPr="00B12728">
        <w:rPr>
          <w:vertAlign w:val="subscript"/>
        </w:rPr>
        <w:t xml:space="preserve"> </w:t>
      </w:r>
      <w:r w:rsidRPr="00B12728">
        <w:t xml:space="preserve">als maximal zulässiger Oktavschallleistungspegel festgeschrieben werden. Ebenfalls wird gemäß dieser Ziffer das Oktavspektrum zum </w:t>
      </w:r>
      <w:r w:rsidRPr="00D87AF1">
        <w:t xml:space="preserve">zugehörigen Schallleistungspegel festgeschrieben. </w:t>
      </w:r>
      <w:r w:rsidR="00B12728" w:rsidRPr="00D87AF1">
        <w:t xml:space="preserve">Das Oktavspektrum ist inhaltlicher Bestandteil der Schallimmissionsprognose (Gutachten des Ingenieurbüros </w:t>
      </w:r>
      <w:proofErr w:type="spellStart"/>
      <w:r w:rsidR="00B12728" w:rsidRPr="00D87AF1">
        <w:t>PLANkon</w:t>
      </w:r>
      <w:proofErr w:type="spellEnd"/>
      <w:r w:rsidR="00B12728" w:rsidRPr="00D87AF1">
        <w:t xml:space="preserve"> mit Bericht vom 19.12.2023)</w:t>
      </w:r>
      <w:r w:rsidR="00D87AF1" w:rsidRPr="00D87AF1">
        <w:t>.</w:t>
      </w:r>
    </w:p>
    <w:p w14:paraId="1C2E2765" w14:textId="67F540DC" w:rsidR="00FD09CF" w:rsidRPr="00D87AF1" w:rsidRDefault="00FD09CF" w:rsidP="00511613">
      <w:pPr>
        <w:spacing w:line="312" w:lineRule="auto"/>
        <w:jc w:val="both"/>
      </w:pPr>
    </w:p>
    <w:p w14:paraId="46C628B0" w14:textId="5181FD67" w:rsidR="00B12728" w:rsidRPr="00D87AF1" w:rsidRDefault="00B12728" w:rsidP="00511613">
      <w:pPr>
        <w:spacing w:line="312" w:lineRule="auto"/>
        <w:jc w:val="both"/>
      </w:pPr>
      <w:r w:rsidRPr="00B12728">
        <w:t xml:space="preserve">Aufgrund der Schallimmissionsprognose (Gutachten des Ingenieurbüros </w:t>
      </w:r>
      <w:proofErr w:type="spellStart"/>
      <w:r w:rsidRPr="00B12728">
        <w:t>PLANkon</w:t>
      </w:r>
      <w:proofErr w:type="spellEnd"/>
      <w:r w:rsidRPr="00B12728">
        <w:t xml:space="preserve"> mit Bericht vom 19.12.2023) und der damit verbundenen Notwendigkeit eines geräuschoptimierten Nachtbetriebes in der Zeit von 22:00 bis 06:00 Uhr wird die Auflage zum Nachweis des gesicherten Wechsels zwischen dem Tag- und Nachtbetrieb für erforderlich erachtet. Die Erbringung des Nachweises dient der Anlagenüberwachung und der Sicherstellung des </w:t>
      </w:r>
      <w:r w:rsidRPr="00D87AF1">
        <w:t>genehmigungskonformen Betriebs.</w:t>
      </w:r>
    </w:p>
    <w:p w14:paraId="52F9950D" w14:textId="02CCE272" w:rsidR="00B12728" w:rsidRPr="00D87AF1" w:rsidRDefault="00B12728" w:rsidP="00511613">
      <w:pPr>
        <w:spacing w:line="312" w:lineRule="auto"/>
        <w:jc w:val="both"/>
      </w:pPr>
    </w:p>
    <w:p w14:paraId="38465340" w14:textId="10B0EEF8" w:rsidR="00B12728" w:rsidRPr="00D87AF1" w:rsidRDefault="00B12728" w:rsidP="00B12728">
      <w:pPr>
        <w:spacing w:line="312" w:lineRule="auto"/>
        <w:jc w:val="both"/>
        <w:rPr>
          <w:u w:val="single"/>
        </w:rPr>
      </w:pPr>
      <w:r w:rsidRPr="00D87AF1">
        <w:rPr>
          <w:u w:val="single"/>
        </w:rPr>
        <w:t>Abnahmemessung und Nachtbetrieb</w:t>
      </w:r>
    </w:p>
    <w:p w14:paraId="7CF48BB9" w14:textId="77777777" w:rsidR="00B12728" w:rsidRPr="00D87AF1" w:rsidRDefault="00B12728" w:rsidP="00B12728">
      <w:pPr>
        <w:spacing w:line="312" w:lineRule="auto"/>
        <w:jc w:val="both"/>
      </w:pPr>
    </w:p>
    <w:p w14:paraId="21FEA011" w14:textId="7B51015E" w:rsidR="00D87AF1" w:rsidRPr="00F202B6" w:rsidRDefault="00D87AF1" w:rsidP="00D87AF1">
      <w:pPr>
        <w:spacing w:line="312" w:lineRule="auto"/>
        <w:jc w:val="both"/>
      </w:pPr>
      <w:r w:rsidRPr="00D87AF1">
        <w:t xml:space="preserve">Gemäß Ziffer 4.2 der Hinweise zum Schallimmissionsschutz bei Windkraftanlagen der Bund/Länder-Arbeitsgemeinschaft Immissionsschutz (LAI), Stand 30.06.2016 kann auf eine Abnahmemessung des Tagbetriebs verzichtet werden, da alle drei geplanten WEA an allen betrachteten Immissionsorten den geltenden Immissionsrichtwert (IRW) um 15 dB(A) </w:t>
      </w:r>
      <w:r w:rsidRPr="00F202B6">
        <w:t xml:space="preserve">unterschreiten. </w:t>
      </w:r>
    </w:p>
    <w:p w14:paraId="27B5A358" w14:textId="77777777" w:rsidR="00D87AF1" w:rsidRPr="00F202B6" w:rsidRDefault="00D87AF1" w:rsidP="00D87AF1">
      <w:pPr>
        <w:spacing w:line="312" w:lineRule="auto"/>
        <w:jc w:val="both"/>
      </w:pPr>
    </w:p>
    <w:p w14:paraId="5C9255B6" w14:textId="1EFAD665" w:rsidR="00D87AF1" w:rsidRPr="00F202B6" w:rsidRDefault="00D87AF1" w:rsidP="00B12728">
      <w:pPr>
        <w:spacing w:line="312" w:lineRule="auto"/>
        <w:jc w:val="both"/>
      </w:pPr>
      <w:r w:rsidRPr="00F202B6">
        <w:t xml:space="preserve">Die Durchführung der Abnahmemessung für die geräuschoptimierten Betriebsmodi Mode 9 und Mode 10 ist gemäß Ziffer 4.2 der der LAI-Hinweise zum Schallimmissionsschutz bei Windkraftanlagen (LAI 9-2017) notwendig, da die Schallimmissionsprognose (Gutachten des Ingenieurbüros </w:t>
      </w:r>
      <w:proofErr w:type="spellStart"/>
      <w:r w:rsidRPr="00F202B6">
        <w:t>PLANkon</w:t>
      </w:r>
      <w:proofErr w:type="spellEnd"/>
      <w:r w:rsidRPr="00F202B6">
        <w:t xml:space="preserve"> mit Bericht vom 19.12.2023) auf Basis von Herstellerangaben erstellt wurde. Die Untersagung des Nachtbetriebs erfolgt gemäß Ziffer 4.2 der LAI-Hinweise zum Schallimmissionsschutz bei Windkraftanlagen (LAI 9-2017).</w:t>
      </w:r>
    </w:p>
    <w:p w14:paraId="6C31547B" w14:textId="7C0D424A" w:rsidR="00B12728" w:rsidRPr="00F202B6" w:rsidRDefault="00B12728" w:rsidP="00B12728">
      <w:pPr>
        <w:spacing w:line="312" w:lineRule="auto"/>
        <w:jc w:val="both"/>
      </w:pPr>
    </w:p>
    <w:p w14:paraId="3B82D6F0" w14:textId="2F6E52E7" w:rsidR="00B12728" w:rsidRPr="00F202B6" w:rsidRDefault="00B12728" w:rsidP="00B12728">
      <w:pPr>
        <w:spacing w:line="312" w:lineRule="auto"/>
        <w:jc w:val="both"/>
      </w:pPr>
      <w:r w:rsidRPr="00F202B6">
        <w:t xml:space="preserve">Die Notwendigkeit einer Abnahmemessung </w:t>
      </w:r>
      <w:r w:rsidR="00F202B6" w:rsidRPr="00F202B6">
        <w:t>innerhalb von 12 Monaten nach</w:t>
      </w:r>
      <w:r w:rsidRPr="00F202B6">
        <w:t xml:space="preserve"> Vorlage einer Typvermessung für die nächtlichen Betriebsmodi ergibt sich aus Ziffer 4.3 der LAI-Hinweise zum Schallimmissionsschutz bei Windkraftanlagen (LAI 9-2017).</w:t>
      </w:r>
    </w:p>
    <w:p w14:paraId="366F22F6" w14:textId="472236F4" w:rsidR="00F202B6" w:rsidRPr="00F202B6" w:rsidRDefault="00F202B6" w:rsidP="00B12728">
      <w:pPr>
        <w:spacing w:line="312" w:lineRule="auto"/>
        <w:jc w:val="both"/>
      </w:pPr>
    </w:p>
    <w:p w14:paraId="06A3172B" w14:textId="5ECE6C4A" w:rsidR="00F202B6" w:rsidRPr="00F202B6" w:rsidRDefault="00F202B6" w:rsidP="00B12728">
      <w:pPr>
        <w:spacing w:line="312" w:lineRule="auto"/>
        <w:jc w:val="both"/>
      </w:pPr>
      <w:r w:rsidRPr="00F202B6">
        <w:t>Der Verzicht auf eine Abnahmemessung nach Vorlage eines Mehrfachmessberichts ergibt sich aus Ziffer 4.4 der Hinweise zum Schallimmissionsschutz bei Windkraftanlagen der Bund/Länder-Arbeitsgemeinschaft Immissionsschutz (LAI), Stand 30.06.2016.</w:t>
      </w:r>
    </w:p>
    <w:p w14:paraId="257C9087" w14:textId="77777777" w:rsidR="00B12728" w:rsidRPr="00F202B6" w:rsidRDefault="00B12728" w:rsidP="00B12728">
      <w:pPr>
        <w:spacing w:line="312" w:lineRule="auto"/>
        <w:jc w:val="both"/>
      </w:pPr>
    </w:p>
    <w:p w14:paraId="36C14EA1" w14:textId="77777777" w:rsidR="00B12728" w:rsidRPr="00F202B6" w:rsidRDefault="00B12728" w:rsidP="00B12728">
      <w:pPr>
        <w:spacing w:line="312" w:lineRule="auto"/>
        <w:jc w:val="both"/>
      </w:pPr>
      <w:r w:rsidRPr="00F202B6">
        <w:t xml:space="preserve">Die Auflage zur Messung legt fest, wie im Rahmen einer Abnahme- oder Überwachungsmessung der Nachweis für den genehmigungskonformen Betrieb zu führen ist und wann dieser eingehalten ist. Diese Nebenbestimmung gilt sowohl für Windenergieanlagen, für die bei ihrer Genehmigung bereits ein Typvermessungsbericht vorlag als auch für Windenergieanlagen, die bei ihrer Genehmigung noch nicht vermessen waren. </w:t>
      </w:r>
      <w:r w:rsidRPr="00F202B6">
        <w:lastRenderedPageBreak/>
        <w:t>Über die Betriebsjahre der Windenergieanlage können ggf. (weitere) Messungen erforderlich werden, für die dann die Nachweisführung klar geregelt ist.</w:t>
      </w:r>
    </w:p>
    <w:p w14:paraId="3E75DCB3" w14:textId="733419F5" w:rsidR="00B12728" w:rsidRDefault="00B12728" w:rsidP="00511613">
      <w:pPr>
        <w:spacing w:line="312" w:lineRule="auto"/>
        <w:jc w:val="both"/>
      </w:pPr>
    </w:p>
    <w:p w14:paraId="30D4D307" w14:textId="1D094F41" w:rsidR="000F1AEC" w:rsidRPr="00D773AE" w:rsidRDefault="000F1AEC" w:rsidP="00511613">
      <w:pPr>
        <w:spacing w:line="312" w:lineRule="auto"/>
        <w:jc w:val="both"/>
        <w:rPr>
          <w:u w:val="single"/>
        </w:rPr>
      </w:pPr>
      <w:r w:rsidRPr="00D773AE">
        <w:rPr>
          <w:u w:val="single"/>
        </w:rPr>
        <w:t>Auswertung der Schallimmissionsprognose</w:t>
      </w:r>
    </w:p>
    <w:p w14:paraId="5F2629CF" w14:textId="77777777" w:rsidR="000F1AEC" w:rsidRPr="00D773AE" w:rsidRDefault="000F1AEC" w:rsidP="00511613">
      <w:pPr>
        <w:spacing w:line="312" w:lineRule="auto"/>
        <w:jc w:val="both"/>
      </w:pPr>
    </w:p>
    <w:p w14:paraId="1D60C706" w14:textId="77777777" w:rsidR="000F1AEC" w:rsidRPr="00D773AE" w:rsidRDefault="000F1AEC" w:rsidP="000F1AEC">
      <w:pPr>
        <w:spacing w:line="312" w:lineRule="auto"/>
        <w:jc w:val="both"/>
      </w:pPr>
      <w:r w:rsidRPr="00D773AE">
        <w:t xml:space="preserve">Die Schallimmissionsprognose des Ingenieurbüros </w:t>
      </w:r>
      <w:proofErr w:type="spellStart"/>
      <w:r w:rsidRPr="00D773AE">
        <w:t>PLANkon</w:t>
      </w:r>
      <w:proofErr w:type="spellEnd"/>
      <w:r w:rsidRPr="00D773AE">
        <w:t xml:space="preserve"> mit der Berichtsnummer PK 2013052-SLG-B vom 19.12.2023 ist plausibel. Das gesamte Gutachten kann den Antragsunterlagen entnommen werden. </w:t>
      </w:r>
    </w:p>
    <w:p w14:paraId="24BFE6C1" w14:textId="77777777" w:rsidR="000F1AEC" w:rsidRPr="00D773AE" w:rsidRDefault="000F1AEC" w:rsidP="000F1AEC">
      <w:pPr>
        <w:spacing w:line="312" w:lineRule="auto"/>
        <w:jc w:val="both"/>
      </w:pPr>
    </w:p>
    <w:p w14:paraId="4E13DECB" w14:textId="3237E4FB" w:rsidR="000F1AEC" w:rsidRPr="00D773AE" w:rsidRDefault="000F1AEC" w:rsidP="000F1AEC">
      <w:pPr>
        <w:spacing w:line="312" w:lineRule="auto"/>
        <w:jc w:val="both"/>
      </w:pPr>
      <w:r w:rsidRPr="00D773AE">
        <w:t xml:space="preserve">Es wurden insgesamt 7 Immissionsorte (IO) in den Ortschaften </w:t>
      </w:r>
      <w:proofErr w:type="spellStart"/>
      <w:r w:rsidRPr="00D773AE">
        <w:t>Ovelgünne</w:t>
      </w:r>
      <w:proofErr w:type="spellEnd"/>
      <w:r w:rsidRPr="00D773AE">
        <w:t xml:space="preserve">, </w:t>
      </w:r>
      <w:proofErr w:type="spellStart"/>
      <w:r w:rsidRPr="00D773AE">
        <w:t>Druxberge</w:t>
      </w:r>
      <w:proofErr w:type="spellEnd"/>
      <w:r w:rsidRPr="00D773AE">
        <w:t xml:space="preserve">, </w:t>
      </w:r>
      <w:proofErr w:type="spellStart"/>
      <w:r w:rsidRPr="00D773AE">
        <w:t>Groppendorf</w:t>
      </w:r>
      <w:proofErr w:type="spellEnd"/>
      <w:r w:rsidRPr="00D773AE">
        <w:t xml:space="preserve"> und </w:t>
      </w:r>
      <w:proofErr w:type="spellStart"/>
      <w:r w:rsidRPr="00D773AE">
        <w:t>Hakenstedt</w:t>
      </w:r>
      <w:proofErr w:type="spellEnd"/>
      <w:r w:rsidRPr="00D773AE">
        <w:t xml:space="preserve"> identifiziert. Die Gebietseinstufungen können dem Gutachten entnommen werden. Diese wurden im Vorfeld mit der Kreisplanung des LK Börde abgestimmt. </w:t>
      </w:r>
    </w:p>
    <w:p w14:paraId="6B1D2E87" w14:textId="541581AD" w:rsidR="00F202B6" w:rsidRPr="00D773AE" w:rsidRDefault="00F202B6" w:rsidP="00511613">
      <w:pPr>
        <w:spacing w:line="312" w:lineRule="auto"/>
        <w:jc w:val="both"/>
      </w:pPr>
    </w:p>
    <w:p w14:paraId="08553E08" w14:textId="670CA8CB" w:rsidR="00536D5E" w:rsidRPr="00D773AE" w:rsidRDefault="00067A4D" w:rsidP="00511613">
      <w:pPr>
        <w:spacing w:line="312" w:lineRule="auto"/>
        <w:jc w:val="both"/>
      </w:pPr>
      <w:r w:rsidRPr="00D773AE">
        <w:t xml:space="preserve">Da die drei WEA im Tag- und Nachtzeitraum unterschiedliche Betriebsmodi einsetzen, wurden sowohl die </w:t>
      </w:r>
      <w:r w:rsidR="00005CC4" w:rsidRPr="00D773AE">
        <w:t>zulässigen relevanten Immissionsrichtwerte (IRW) für den Tag-, als auch für den Nachtzeitraum geprüft. Die zulässigen Immissionsrichtwerte ergeben sich gemäß Nr. 6.1 TA Lärm.</w:t>
      </w:r>
    </w:p>
    <w:p w14:paraId="49395CCC" w14:textId="77777777" w:rsidR="00536D5E" w:rsidRPr="00D773AE" w:rsidRDefault="00536D5E" w:rsidP="00511613">
      <w:pPr>
        <w:spacing w:line="312" w:lineRule="auto"/>
        <w:jc w:val="both"/>
      </w:pPr>
    </w:p>
    <w:p w14:paraId="38A9D82D" w14:textId="65279242" w:rsidR="00536D5E" w:rsidRPr="00D773AE" w:rsidRDefault="00536D5E" w:rsidP="00511613">
      <w:pPr>
        <w:spacing w:line="312" w:lineRule="auto"/>
        <w:jc w:val="both"/>
      </w:pPr>
      <w:r w:rsidRPr="00D773AE">
        <w:t>Nach Nr. 2.2 TA Lärm ist der Einwirkungsbereich einer Anlage durch die Fläche bestimmt, in der die von der Anlage ausgehenden Geräusche einen Beurteilungspegel verursachen, der weniger als 10 dB(A) unter dem für die Fläche maßgeblich zulässigen Immissionsrichtwert (IRW) der Nr. 6.1 TA Lärm liegt.</w:t>
      </w:r>
      <w:r w:rsidR="00005CC4" w:rsidRPr="00D773AE">
        <w:t xml:space="preserve"> Beträgt die Differenz zwischen dem IRW des jeweiligen Immissionsortes und dem Beurteilungspegel des Vorhabens mehr als 10 dB(A), befindet sich das Vorhaben nicht mehr im Einwirkbereich des Immissionsortes. </w:t>
      </w:r>
    </w:p>
    <w:p w14:paraId="4A19FC77" w14:textId="513209D6" w:rsidR="007A4CBB" w:rsidRPr="00D773AE" w:rsidRDefault="007A4CBB" w:rsidP="009E56AE">
      <w:pPr>
        <w:spacing w:line="312" w:lineRule="auto"/>
        <w:jc w:val="both"/>
      </w:pPr>
    </w:p>
    <w:p w14:paraId="029A2A6E" w14:textId="379009A3" w:rsidR="007A4CBB" w:rsidRPr="00D773AE" w:rsidRDefault="007A4CBB" w:rsidP="009E56AE">
      <w:pPr>
        <w:spacing w:line="312" w:lineRule="auto"/>
        <w:jc w:val="both"/>
      </w:pPr>
      <w:r w:rsidRPr="00D773AE">
        <w:t xml:space="preserve">Im Tagzeitraum (06:00 bis 22:00 Uhr) werden die 3 WEA im Volllastbetrieb Mode 0 betrieben. Im Anhang des Gutachtens wird der Tagbetrieb betrachtet. Die Zusatzbelastung des Vorhabens liegt an allen IO mind. 15 dB(A) unterhalb der geltenden IRW und gemäß Ziffer 2.2 der TA Lärm außerhalb des Einwirkbereichs. </w:t>
      </w:r>
    </w:p>
    <w:p w14:paraId="0BBE6A9C" w14:textId="40D56135" w:rsidR="007A4CBB" w:rsidRPr="00D773AE" w:rsidRDefault="007A4CBB" w:rsidP="009E56AE">
      <w:pPr>
        <w:spacing w:line="312" w:lineRule="auto"/>
        <w:jc w:val="both"/>
      </w:pPr>
    </w:p>
    <w:p w14:paraId="54FF0698" w14:textId="5885EA36" w:rsidR="007A4CBB" w:rsidRPr="00D773AE" w:rsidRDefault="007A4CBB" w:rsidP="009E56AE">
      <w:pPr>
        <w:spacing w:line="312" w:lineRule="auto"/>
        <w:jc w:val="both"/>
      </w:pPr>
      <w:r w:rsidRPr="00D773AE">
        <w:t>Im Nachtzeitraum (22:00 bis 06:00 Uhr) werden die WEA 1, sowie WEA 2 im M</w:t>
      </w:r>
      <w:r w:rsidR="00C6343C" w:rsidRPr="00D773AE">
        <w:t>ode 10 und die WEA 3 im Mode 9 betrieben. Auf Seite 33 wird die nächtliche Zusatzbelastung aufgeführt. An IP A und IP C - IP G werden die IRW um mind. 11 dB(A) unterschritten. Das Vorhaben liegt außerhalb des Einwirkbereichs (Ziffer 2.2 TA Lärm). Am IP B unterschreitet da</w:t>
      </w:r>
      <w:r w:rsidR="00F32108" w:rsidRPr="00D773AE">
        <w:t>s Vorhaben den IRW um 6 dB(A). Gemäß Nr. 3.2.1 (2) TA Lärm ist das Vorhaben als irrelevant einzustufen, wenn deren ausgehende Zusatzbelastung am maßgeblichen Immissionsort 6 dB(A) unterhalb des geltenden Immissionsrichtwertes nach Nr. 6.1 TA Lärm liegt. Die Gesamtbelastung überschreitet ähnlich der Vorbelastung die IRW an sechs der sieben IO. Jedoch befindet sich das geplante Vorhaben am IP A und IP C – IP G nicht im Ein</w:t>
      </w:r>
      <w:r w:rsidR="00044909" w:rsidRPr="00D773AE">
        <w:t xml:space="preserve">wirkbereich, d.h. gemäß Ziffer 2.2 TA Lärm wirkt das Vorhaben nicht auf diese Immissionsorte ein. Lediglich IP B liegt im Einwirkbereich des Vorhabens, jedoch unterschreitet die Zusatzbelastung den IRW um 6 dB(A). Das Vorhaben ist gemäß Ziffer 3.2.1 (2) TA Lärm irrelevant und eine Genehmigung des Vorhabens darf auch bei Überschreitung der IRW nicht versagt werden. </w:t>
      </w:r>
    </w:p>
    <w:p w14:paraId="281F457C" w14:textId="498ED647" w:rsidR="00B12728" w:rsidRPr="00D773AE" w:rsidRDefault="00B12728" w:rsidP="00511613">
      <w:pPr>
        <w:spacing w:line="312" w:lineRule="auto"/>
        <w:jc w:val="both"/>
      </w:pPr>
    </w:p>
    <w:p w14:paraId="52C18A75" w14:textId="1C8F70C5" w:rsidR="00B12728" w:rsidRPr="00D773AE" w:rsidRDefault="00B12728" w:rsidP="00511613">
      <w:pPr>
        <w:spacing w:line="312" w:lineRule="auto"/>
        <w:jc w:val="both"/>
      </w:pPr>
      <w:r w:rsidRPr="00D773AE">
        <w:t xml:space="preserve">Eine Festlegung von einzuhaltenden Immissionsrichtwerten erfolgt nicht, da diese im Ergebnis des Urteils des Bundesverwaltungsgerichtes vom 21.02.2013 (BVerwG 7 C 22.11) untauglich sind, die Funktion </w:t>
      </w:r>
      <w:r w:rsidR="00D773AE" w:rsidRPr="00D773AE">
        <w:t>von Kontrollwerten zu erfüllen.</w:t>
      </w:r>
    </w:p>
    <w:p w14:paraId="65EB5ADB" w14:textId="6289552E" w:rsidR="00A01DAC" w:rsidRPr="00D773AE" w:rsidRDefault="00A01DAC" w:rsidP="00511613">
      <w:pPr>
        <w:spacing w:line="312" w:lineRule="auto"/>
        <w:jc w:val="both"/>
        <w:rPr>
          <w:u w:val="single"/>
        </w:rPr>
      </w:pPr>
    </w:p>
    <w:p w14:paraId="1109693D" w14:textId="77777777" w:rsidR="00AF5991" w:rsidRPr="00D773AE" w:rsidRDefault="00AF5991" w:rsidP="00511613">
      <w:pPr>
        <w:spacing w:line="312" w:lineRule="auto"/>
        <w:jc w:val="both"/>
        <w:rPr>
          <w:b/>
        </w:rPr>
      </w:pPr>
      <w:r w:rsidRPr="00D773AE">
        <w:rPr>
          <w:b/>
          <w:u w:val="single"/>
        </w:rPr>
        <w:t>Schattenwurf</w:t>
      </w:r>
    </w:p>
    <w:p w14:paraId="31170F4B" w14:textId="77777777" w:rsidR="00AF5991" w:rsidRPr="00D773AE" w:rsidRDefault="00AF5991" w:rsidP="00511613">
      <w:pPr>
        <w:spacing w:line="312" w:lineRule="auto"/>
        <w:jc w:val="both"/>
      </w:pPr>
    </w:p>
    <w:p w14:paraId="5CB28AAF" w14:textId="77777777" w:rsidR="00AF5991" w:rsidRPr="00A11B17" w:rsidRDefault="00AF5991" w:rsidP="00511613">
      <w:pPr>
        <w:spacing w:line="312" w:lineRule="auto"/>
        <w:jc w:val="both"/>
      </w:pPr>
      <w:r w:rsidRPr="00D773AE">
        <w:t>Die zulässigen Schatt</w:t>
      </w:r>
      <w:r w:rsidR="00FB21AB" w:rsidRPr="00D773AE">
        <w:t>enwurfzeiten orientieren sich an den Immissionsrichtwerten der „Hinweise zur Ermit</w:t>
      </w:r>
      <w:r w:rsidR="00AF59AA" w:rsidRPr="00D773AE">
        <w:t>t</w:t>
      </w:r>
      <w:r w:rsidR="00FB21AB" w:rsidRPr="00D773AE">
        <w:t xml:space="preserve">lung und Beurteilung der optischen Immissionen von Windenergieanlagen“ (WEA-Schattenwurf-Hinweise), die </w:t>
      </w:r>
      <w:r w:rsidR="00FB21AB" w:rsidRPr="00C82AA0">
        <w:t>aus umfangreichen Untersuchungen zur Belästigung durch periodischen Schattenwurf von Windkraftanlagen abgeleitet wurden. Als zulä</w:t>
      </w:r>
      <w:r w:rsidR="00853B8F" w:rsidRPr="00C82AA0">
        <w:t>s</w:t>
      </w:r>
      <w:r w:rsidR="00FB21AB" w:rsidRPr="00C82AA0">
        <w:t>sig sind danach die astronomischen maximal möglichen Beschattungsdauern von jeweils 30 Minuten/Tag und 30 Stunden/Jahr bzw. real auftretende Schattenwürfe von jeweils maximal 8 Stunden/Jahr anzusehen. Vom Länderausschuss für Immissionsschutz wurden diese WEA-</w:t>
      </w:r>
      <w:r w:rsidR="00FB21AB" w:rsidRPr="00A11B17">
        <w:t>Schattenwurf-Hinweise zur Anwendung empfohlen.</w:t>
      </w:r>
    </w:p>
    <w:p w14:paraId="487F3EA1" w14:textId="77777777" w:rsidR="00FB21AB" w:rsidRPr="00A11B17" w:rsidRDefault="00FB21AB" w:rsidP="00511613">
      <w:pPr>
        <w:spacing w:line="312" w:lineRule="auto"/>
        <w:jc w:val="both"/>
      </w:pPr>
    </w:p>
    <w:p w14:paraId="6C11587F" w14:textId="3C76B6B6" w:rsidR="00387C2D" w:rsidRPr="00FF0793" w:rsidRDefault="00FB21AB" w:rsidP="00511613">
      <w:pPr>
        <w:spacing w:line="312" w:lineRule="auto"/>
        <w:jc w:val="both"/>
      </w:pPr>
      <w:r w:rsidRPr="00A11B17">
        <w:t xml:space="preserve">Das Schattenwurfgutachten </w:t>
      </w:r>
      <w:r w:rsidR="009D4641" w:rsidRPr="00A11B17">
        <w:t>(</w:t>
      </w:r>
      <w:r w:rsidR="00A11B17" w:rsidRPr="00A11B17">
        <w:t>PK 2013052-STG-A</w:t>
      </w:r>
      <w:r w:rsidR="009D4641" w:rsidRPr="00A11B17">
        <w:t xml:space="preserve">) </w:t>
      </w:r>
      <w:r w:rsidRPr="00A11B17">
        <w:t xml:space="preserve">vom </w:t>
      </w:r>
      <w:r w:rsidR="00A11B17" w:rsidRPr="00A11B17">
        <w:t>19.12.2023</w:t>
      </w:r>
      <w:r w:rsidR="00CE6C83" w:rsidRPr="00A11B17">
        <w:t xml:space="preserve"> de</w:t>
      </w:r>
      <w:r w:rsidR="00A11B17" w:rsidRPr="00A11B17">
        <w:t>s</w:t>
      </w:r>
      <w:r w:rsidR="00CE6C83" w:rsidRPr="00A11B17">
        <w:t xml:space="preserve"> </w:t>
      </w:r>
      <w:r w:rsidR="00A11B17" w:rsidRPr="00A11B17">
        <w:t xml:space="preserve">Ingenieurbüros </w:t>
      </w:r>
      <w:proofErr w:type="spellStart"/>
      <w:r w:rsidR="00A11B17" w:rsidRPr="00A11B17">
        <w:t>PLANkon</w:t>
      </w:r>
      <w:proofErr w:type="spellEnd"/>
      <w:r w:rsidR="00CE6C83" w:rsidRPr="00A11B17">
        <w:t xml:space="preserve"> </w:t>
      </w:r>
      <w:r w:rsidR="00387C2D">
        <w:t>betrachtete</w:t>
      </w:r>
      <w:r w:rsidR="00AF4AB0" w:rsidRPr="00A11B17">
        <w:t xml:space="preserve"> </w:t>
      </w:r>
      <w:r w:rsidR="00A11B17" w:rsidRPr="00A11B17">
        <w:t>10</w:t>
      </w:r>
      <w:r w:rsidR="0046665F" w:rsidRPr="00A11B17">
        <w:t> </w:t>
      </w:r>
      <w:r w:rsidR="00AF4AB0" w:rsidRPr="00A11B17">
        <w:t xml:space="preserve">Immissionspunkte. </w:t>
      </w:r>
      <w:r w:rsidR="00531A7A" w:rsidRPr="00A11B17">
        <w:t xml:space="preserve">Auf S. </w:t>
      </w:r>
      <w:r w:rsidR="00A11B17" w:rsidRPr="00A11B17">
        <w:t>10</w:t>
      </w:r>
      <w:r w:rsidR="00531A7A" w:rsidRPr="00A11B17">
        <w:t xml:space="preserve"> wurde die Vorbelastung</w:t>
      </w:r>
      <w:r w:rsidR="00A11B17" w:rsidRPr="00A11B17">
        <w:t xml:space="preserve"> </w:t>
      </w:r>
      <w:r w:rsidR="00387C2D">
        <w:t>aufgeführt</w:t>
      </w:r>
      <w:r w:rsidR="00A11B17" w:rsidRPr="00A11B17">
        <w:t xml:space="preserve">. Hierbei wurden 70 WKA im WP </w:t>
      </w:r>
      <w:proofErr w:type="spellStart"/>
      <w:r w:rsidR="00A11B17" w:rsidRPr="00A11B17">
        <w:t>Hakenstedt</w:t>
      </w:r>
      <w:proofErr w:type="spellEnd"/>
      <w:r w:rsidR="00A11B17" w:rsidRPr="00A11B17">
        <w:t xml:space="preserve"> und </w:t>
      </w:r>
      <w:proofErr w:type="spellStart"/>
      <w:r w:rsidR="00A11B17" w:rsidRPr="00A11B17">
        <w:t>Eilsleben</w:t>
      </w:r>
      <w:proofErr w:type="spellEnd"/>
      <w:r w:rsidR="00A11B17" w:rsidRPr="00A11B17">
        <w:t>/</w:t>
      </w:r>
      <w:proofErr w:type="spellStart"/>
      <w:r w:rsidR="00A11B17" w:rsidRPr="00A11B17">
        <w:t>Ovelgünne</w:t>
      </w:r>
      <w:proofErr w:type="spellEnd"/>
      <w:r w:rsidR="00A11B17" w:rsidRPr="00A11B17">
        <w:t xml:space="preserve"> </w:t>
      </w:r>
      <w:r w:rsidR="00531A7A" w:rsidRPr="00A11B17">
        <w:t>als Vorbelastung mit</w:t>
      </w:r>
      <w:r w:rsidR="00E0727D" w:rsidRPr="00A11B17">
        <w:t xml:space="preserve"> </w:t>
      </w:r>
      <w:r w:rsidR="00531A7A" w:rsidRPr="00A11B17">
        <w:t>einbezogen</w:t>
      </w:r>
      <w:r w:rsidR="00EE7B91" w:rsidRPr="00A11B17">
        <w:t>.</w:t>
      </w:r>
      <w:r w:rsidR="00531A7A" w:rsidRPr="00A11B17">
        <w:t xml:space="preserve"> </w:t>
      </w:r>
      <w:r w:rsidR="00387C2D">
        <w:t xml:space="preserve">Die Vorbelastung schöpft an keinem der Immissionsorte die zulässigen Immissionsrichtwerte aus. Auf S. 11 des </w:t>
      </w:r>
      <w:r w:rsidR="00387C2D" w:rsidRPr="00A11B17">
        <w:t>Schattenwurfgutachten</w:t>
      </w:r>
      <w:r w:rsidR="00387C2D">
        <w:t>s</w:t>
      </w:r>
      <w:r w:rsidR="00387C2D" w:rsidRPr="00A11B17">
        <w:t xml:space="preserve"> (PK 2013052-STG-A) vom 19.12.2023</w:t>
      </w:r>
      <w:r w:rsidR="00387C2D">
        <w:t xml:space="preserve"> werden die Berechnungsergebnisse der Zusatzbelastung, 3 WEA des Typs </w:t>
      </w:r>
      <w:r w:rsidR="00387C2D" w:rsidRPr="00387C2D">
        <w:t>NORDEX N149 5.X STE</w:t>
      </w:r>
      <w:r w:rsidR="00387C2D">
        <w:t xml:space="preserve">, aufgeführt. Die Zusatzbelastung überschreitet die max. Schattenwurfdauer/Tag an den Immissionsorten C, D und E. Die </w:t>
      </w:r>
      <w:r w:rsidR="00CB2432">
        <w:t xml:space="preserve">maximal zulässige Schattenwurfdauer je Jahr von 30 h/a wird lediglich an IO C überschritten. Im Anhang des Gutachtens zeigt der grafische Kalender für die Zusatzbelastung, dass nur die WEA 2 und WEA 3 auf die Immissionsorte C bis G einwirken. Die IO A, B, H-J liegen außerhalb des Einwirkbereichs (0 h-Linie) der WEA 2 und WEA 3. Alle 10 Immissionsorte A – J liegen außerhalb </w:t>
      </w:r>
      <w:r w:rsidR="00CB2432" w:rsidRPr="00FF0793">
        <w:t xml:space="preserve">des Einwirkbereichs der WEA 1. Die Überschreitungen der zulässigen Schattenwurfdauer, werden durch die Zusatzbelastung hervorgerufen, folglich </w:t>
      </w:r>
      <w:r w:rsidR="004E5BE8" w:rsidRPr="00FF0793">
        <w:t>sind die WEA 2 und WEA 3 mit einem Schattenabschaltmodul auszustatten, um den Schattenwurf an den zuvor genannten Immissionspunkten zu verhindern.</w:t>
      </w:r>
    </w:p>
    <w:p w14:paraId="140F9FA8" w14:textId="6AF286C2" w:rsidR="00A01DAC" w:rsidRPr="00FF0793" w:rsidRDefault="00A01DAC" w:rsidP="00511613">
      <w:pPr>
        <w:spacing w:line="312" w:lineRule="auto"/>
        <w:jc w:val="both"/>
      </w:pPr>
    </w:p>
    <w:p w14:paraId="366C9F9D" w14:textId="77777777" w:rsidR="00FB21AB" w:rsidRPr="00FF0793" w:rsidRDefault="00AF59AA" w:rsidP="00511613">
      <w:pPr>
        <w:spacing w:line="312" w:lineRule="auto"/>
        <w:jc w:val="both"/>
      </w:pPr>
      <w:r w:rsidRPr="00FF0793">
        <w:t xml:space="preserve">Die Festschreibung erfolgt </w:t>
      </w:r>
      <w:r w:rsidR="00A01DAC" w:rsidRPr="00FF0793">
        <w:t xml:space="preserve">dementsprechend </w:t>
      </w:r>
      <w:r w:rsidRPr="00FF0793">
        <w:t>als Nebenbestimmung.</w:t>
      </w:r>
    </w:p>
    <w:p w14:paraId="00340AA1" w14:textId="77777777" w:rsidR="00034BEC" w:rsidRPr="00FF0793" w:rsidRDefault="00034BEC" w:rsidP="00511613">
      <w:pPr>
        <w:spacing w:line="312" w:lineRule="auto"/>
        <w:jc w:val="both"/>
      </w:pPr>
    </w:p>
    <w:p w14:paraId="678865A1" w14:textId="77777777" w:rsidR="00AF59AA" w:rsidRPr="00FF0793" w:rsidRDefault="00AF59AA" w:rsidP="00511613">
      <w:pPr>
        <w:spacing w:line="312" w:lineRule="auto"/>
        <w:jc w:val="both"/>
        <w:rPr>
          <w:b/>
          <w:u w:val="single"/>
        </w:rPr>
      </w:pPr>
      <w:r w:rsidRPr="00FF0793">
        <w:rPr>
          <w:b/>
          <w:u w:val="single"/>
        </w:rPr>
        <w:t>Licht</w:t>
      </w:r>
      <w:r w:rsidR="00063569" w:rsidRPr="00FF0793">
        <w:rPr>
          <w:b/>
          <w:u w:val="single"/>
        </w:rPr>
        <w:t>emissionen</w:t>
      </w:r>
    </w:p>
    <w:p w14:paraId="76AFB298" w14:textId="77777777" w:rsidR="00063569" w:rsidRPr="00FF0793" w:rsidRDefault="00063569" w:rsidP="00511613">
      <w:pPr>
        <w:spacing w:line="312" w:lineRule="auto"/>
        <w:jc w:val="both"/>
        <w:rPr>
          <w:u w:val="single"/>
        </w:rPr>
      </w:pPr>
    </w:p>
    <w:p w14:paraId="4D636907" w14:textId="42E64342" w:rsidR="00063569" w:rsidRPr="00CB1452" w:rsidRDefault="00063569" w:rsidP="00511613">
      <w:pPr>
        <w:spacing w:line="312" w:lineRule="auto"/>
        <w:jc w:val="both"/>
      </w:pPr>
      <w:r w:rsidRPr="00CB1452">
        <w:t>Die sogenannten bewegten Schatten und die als Disco Effekt bezeichneten periodischen Lichtreflexe fallen als „ähnliche Umwelteinwirkungen“ unter den Be</w:t>
      </w:r>
      <w:r w:rsidR="00CB1452">
        <w:t>griff der Immissionen des § </w:t>
      </w:r>
      <w:r w:rsidRPr="00CB1452">
        <w:t>3</w:t>
      </w:r>
      <w:r w:rsidR="00CB1452">
        <w:t> </w:t>
      </w:r>
      <w:r w:rsidRPr="00CB1452">
        <w:t>(2) des BImSchG. Auch die luftverkehrsrechtliche Tages- und Nachtkennzeichnung verursacht Lichtimmissionen.</w:t>
      </w:r>
    </w:p>
    <w:p w14:paraId="79C11C76" w14:textId="77777777" w:rsidR="00063569" w:rsidRPr="00CB1452" w:rsidRDefault="00063569" w:rsidP="00511613">
      <w:pPr>
        <w:spacing w:line="312" w:lineRule="auto"/>
        <w:jc w:val="both"/>
      </w:pPr>
    </w:p>
    <w:p w14:paraId="006DE2CB" w14:textId="1FB8B730" w:rsidR="00063569" w:rsidRPr="00CB1452" w:rsidRDefault="00063569" w:rsidP="00511613">
      <w:pPr>
        <w:spacing w:line="312" w:lineRule="auto"/>
        <w:jc w:val="both"/>
      </w:pPr>
      <w:r w:rsidRPr="00CB1452">
        <w:lastRenderedPageBreak/>
        <w:t xml:space="preserve">Die </w:t>
      </w:r>
      <w:r w:rsidR="00CB1452" w:rsidRPr="00CB1452">
        <w:t>drei</w:t>
      </w:r>
      <w:r w:rsidRPr="00CB1452">
        <w:t xml:space="preserve"> WEA</w:t>
      </w:r>
      <w:r w:rsidR="00E9075F" w:rsidRPr="00CB1452">
        <w:t xml:space="preserve"> vom Typ </w:t>
      </w:r>
      <w:r w:rsidR="00CB1452" w:rsidRPr="00CB1452">
        <w:t>NORDEX N149 5.X STE</w:t>
      </w:r>
      <w:r w:rsidRPr="00CB1452">
        <w:t xml:space="preserve"> können antragsgemäß mit sichtweitenabhängiger Regelung der Befeuerungsintensität durch ein Sichtweitenmessgerät ausgestattet werden. Somit werden die Leuchtstärken der Tages- und Nachtbefeuerung in Abhängigkeit von der gemessenen Sichtweite reguliert und weiter minimiert. Die Verpflichtung zum Einbau eines Sichtweitenmessgeräts wird in den Nebenbestimmungen geregelt.</w:t>
      </w:r>
    </w:p>
    <w:p w14:paraId="12A2260B" w14:textId="77777777" w:rsidR="00063569" w:rsidRPr="00CB1452" w:rsidRDefault="00063569" w:rsidP="00511613">
      <w:pPr>
        <w:spacing w:line="312" w:lineRule="auto"/>
        <w:jc w:val="both"/>
      </w:pPr>
    </w:p>
    <w:p w14:paraId="719A327C" w14:textId="77777777" w:rsidR="00E9075F" w:rsidRPr="00CB1452" w:rsidRDefault="007E4FFD" w:rsidP="00511613">
      <w:pPr>
        <w:spacing w:line="312" w:lineRule="auto"/>
        <w:jc w:val="both"/>
      </w:pPr>
      <w:r w:rsidRPr="00CB1452">
        <w:t xml:space="preserve">Maßgebliche Beurteilungsgrundlage für Lichtimmissionen ist § 5 Abs. 1 Nr. 1 und 2 BImSchG </w:t>
      </w:r>
      <w:proofErr w:type="spellStart"/>
      <w:r w:rsidRPr="00CB1452">
        <w:t>i.V.m</w:t>
      </w:r>
      <w:proofErr w:type="spellEnd"/>
      <w:r w:rsidRPr="00CB1452">
        <w:t xml:space="preserve">. der Licht-Richtlinie, wonach die Lichtimmissionen durch die Flugsicherheitsbefeuerung als unerheblich einzustufen sind. Grundsätzlich muss zudem berücksichtigt werden, dass sowohl die Ausrüstung der WEA mit einer Befeuerung als auch die konkrete Ausführung (Anordnung, Farbe, Helligkeit, Blinkfrequenzen) luftverkehrsrechtlich weitgehend vorgeschrieben ist. </w:t>
      </w:r>
      <w:r w:rsidR="00063569" w:rsidRPr="00CB1452">
        <w:t>Darüber hinaus wird mittels Nebenbestimmungen zur Verwendung mittelreflektierender Farben, Synchronisierung und Sichtweitenmessung Vorsorge im Sinne von § 5 (1) Nr. 2 BImSchG betrieben.</w:t>
      </w:r>
    </w:p>
    <w:p w14:paraId="438FB71F" w14:textId="77777777" w:rsidR="00E9075F" w:rsidRPr="00CB1452" w:rsidRDefault="00E9075F" w:rsidP="00511613">
      <w:pPr>
        <w:spacing w:line="312" w:lineRule="auto"/>
        <w:jc w:val="both"/>
      </w:pPr>
    </w:p>
    <w:p w14:paraId="7B70EA10" w14:textId="77777777" w:rsidR="00DB33D2" w:rsidRPr="00CB1452" w:rsidRDefault="00DB33D2" w:rsidP="00511613">
      <w:pPr>
        <w:spacing w:line="312" w:lineRule="auto"/>
        <w:jc w:val="both"/>
        <w:rPr>
          <w:b/>
        </w:rPr>
      </w:pPr>
      <w:r w:rsidRPr="00CB1452">
        <w:rPr>
          <w:b/>
          <w:u w:val="single"/>
        </w:rPr>
        <w:t>Eiserkennung</w:t>
      </w:r>
    </w:p>
    <w:p w14:paraId="35D064CB" w14:textId="77777777" w:rsidR="00DB33D2" w:rsidRPr="00CB1452" w:rsidRDefault="00DB33D2" w:rsidP="00511613">
      <w:pPr>
        <w:spacing w:line="312" w:lineRule="auto"/>
        <w:jc w:val="both"/>
      </w:pPr>
    </w:p>
    <w:p w14:paraId="16B798B0" w14:textId="7A2006DB" w:rsidR="00DB33D2" w:rsidRPr="00CB1452" w:rsidRDefault="00DB33D2" w:rsidP="00511613">
      <w:pPr>
        <w:spacing w:line="312" w:lineRule="auto"/>
        <w:jc w:val="both"/>
      </w:pPr>
      <w:r w:rsidRPr="00CB1452">
        <w:t xml:space="preserve">Die </w:t>
      </w:r>
      <w:r w:rsidR="008A17E7" w:rsidRPr="00CB1452">
        <w:t>drei</w:t>
      </w:r>
      <w:r w:rsidRPr="00CB1452">
        <w:t xml:space="preserve"> WEA vom Typ </w:t>
      </w:r>
      <w:r w:rsidR="008A17E7" w:rsidRPr="00CB1452">
        <w:t>NORDEX N149 5.X STE</w:t>
      </w:r>
      <w:r w:rsidR="001001C1" w:rsidRPr="00CB1452">
        <w:t xml:space="preserve"> </w:t>
      </w:r>
      <w:r w:rsidR="00203FF6" w:rsidRPr="00CB1452">
        <w:t>werden gemäß Kapit</w:t>
      </w:r>
      <w:r w:rsidR="008A17E7" w:rsidRPr="00CB1452">
        <w:t>el 5 der Antragsunterlagen mit einem</w:t>
      </w:r>
      <w:r w:rsidR="00203FF6" w:rsidRPr="00CB1452">
        <w:t xml:space="preserve"> </w:t>
      </w:r>
      <w:r w:rsidRPr="00CB1452">
        <w:t>Eisansatzerkennung</w:t>
      </w:r>
      <w:r w:rsidR="00203FF6" w:rsidRPr="00CB1452">
        <w:t xml:space="preserve">ssystem </w:t>
      </w:r>
      <w:r w:rsidR="008A17E7" w:rsidRPr="00CB1452">
        <w:t>ausgerüstet</w:t>
      </w:r>
      <w:r w:rsidR="00203FF6" w:rsidRPr="00CB1452">
        <w:t>.</w:t>
      </w:r>
      <w:r w:rsidRPr="00CB1452">
        <w:t xml:space="preserve"> </w:t>
      </w:r>
      <w:r w:rsidR="00CB1452" w:rsidRPr="00CB1452">
        <w:t xml:space="preserve">Die </w:t>
      </w:r>
      <w:r w:rsidR="001001C1" w:rsidRPr="00CB1452">
        <w:t>Verpflichtung zum Einsatz einer Eisansatzerkennung wird in den Nebenbestimmungen geregelt.</w:t>
      </w:r>
      <w:r w:rsidR="008A17E7" w:rsidRPr="00CB1452">
        <w:t xml:space="preserve"> Die Notwendigkeit </w:t>
      </w:r>
      <w:r w:rsidR="00CB1452" w:rsidRPr="00CB1452">
        <w:t xml:space="preserve">einer Eisansatzerkennung wird mit der vorgelegten Gefährdungsbetrachtung zum </w:t>
      </w:r>
      <w:proofErr w:type="spellStart"/>
      <w:r w:rsidR="00CB1452" w:rsidRPr="00CB1452">
        <w:t>Eisfall</w:t>
      </w:r>
      <w:proofErr w:type="spellEnd"/>
      <w:r w:rsidR="00CB1452" w:rsidRPr="00CB1452">
        <w:t xml:space="preserve"> in Kapitel 5 begründet. </w:t>
      </w:r>
    </w:p>
    <w:p w14:paraId="1C6962B8" w14:textId="77777777" w:rsidR="00CF7D6F" w:rsidRPr="00CB1452" w:rsidRDefault="00CF7D6F" w:rsidP="00511613">
      <w:pPr>
        <w:spacing w:line="312" w:lineRule="auto"/>
        <w:jc w:val="both"/>
      </w:pPr>
    </w:p>
    <w:p w14:paraId="11FCEAF6" w14:textId="77777777" w:rsidR="00CF7D6F" w:rsidRPr="00CB1452" w:rsidRDefault="00543F73" w:rsidP="00511613">
      <w:pPr>
        <w:spacing w:line="312" w:lineRule="auto"/>
        <w:jc w:val="both"/>
        <w:rPr>
          <w:b/>
          <w:u w:val="single"/>
        </w:rPr>
      </w:pPr>
      <w:r w:rsidRPr="00CB1452">
        <w:rPr>
          <w:b/>
          <w:u w:val="single"/>
        </w:rPr>
        <w:t>Betriebseinstellung</w:t>
      </w:r>
    </w:p>
    <w:p w14:paraId="2ECEA919" w14:textId="77777777" w:rsidR="00CF7D6F" w:rsidRPr="008A17E7" w:rsidRDefault="00CF7D6F" w:rsidP="00511613">
      <w:pPr>
        <w:spacing w:line="312" w:lineRule="auto"/>
        <w:jc w:val="both"/>
      </w:pPr>
    </w:p>
    <w:p w14:paraId="4939F3BB" w14:textId="77777777" w:rsidR="00543F73" w:rsidRPr="008A17E7" w:rsidRDefault="00543F73" w:rsidP="00543F73">
      <w:pPr>
        <w:spacing w:line="312" w:lineRule="auto"/>
        <w:jc w:val="both"/>
      </w:pPr>
      <w:r w:rsidRPr="008A17E7">
        <w:t>Die Nebenbestimmungen zum Immissionsschutz basieren auf den Grundpflichten des § 5 BImSchG. Danach sind genehmigungsbedürftige Anlagen so zu betreiben, dass zur Gewährleistung eines hohen Schutzniveaus für die Umwelt insgesamt</w:t>
      </w:r>
    </w:p>
    <w:p w14:paraId="4F4829FE" w14:textId="77777777" w:rsidR="00543F73" w:rsidRPr="008A17E7" w:rsidRDefault="00543F73" w:rsidP="00543F73">
      <w:pPr>
        <w:pStyle w:val="Listenabsatz"/>
        <w:numPr>
          <w:ilvl w:val="0"/>
          <w:numId w:val="25"/>
        </w:numPr>
        <w:spacing w:line="312" w:lineRule="auto"/>
        <w:contextualSpacing/>
        <w:jc w:val="both"/>
      </w:pPr>
      <w:r w:rsidRPr="008A17E7">
        <w:t>schädliche Umwelteinwirkungen und sonstige Gefahren, erhebliche Nachteile und erhebliche Belästigungen für die Allgemeinheit und die Nachbarschaft nicht hervorgerufen werden können und</w:t>
      </w:r>
    </w:p>
    <w:p w14:paraId="1E7FE60B" w14:textId="77777777" w:rsidR="00543F73" w:rsidRPr="008A17E7" w:rsidRDefault="00543F73" w:rsidP="00543F73">
      <w:pPr>
        <w:pStyle w:val="Listenabsatz"/>
        <w:numPr>
          <w:ilvl w:val="0"/>
          <w:numId w:val="25"/>
        </w:numPr>
        <w:spacing w:line="312" w:lineRule="auto"/>
        <w:contextualSpacing/>
        <w:jc w:val="both"/>
      </w:pPr>
      <w:r w:rsidRPr="008A17E7">
        <w:t>Vorsorge gegen schädliche Umwelteinwirkungen und sonstige Gefahren, erhebliche Nachteile und erhebliche Belästigungen getroffen wird, insbesondere durch die dem Stand der Technik entsprechenden Maßnahmen</w:t>
      </w:r>
    </w:p>
    <w:p w14:paraId="2BA8F5A3" w14:textId="77777777" w:rsidR="00CF7D6F" w:rsidRPr="008A17E7" w:rsidRDefault="00CF7D6F" w:rsidP="00511613">
      <w:pPr>
        <w:spacing w:line="312" w:lineRule="auto"/>
        <w:jc w:val="both"/>
      </w:pPr>
    </w:p>
    <w:p w14:paraId="0BE42631" w14:textId="77777777" w:rsidR="00543F73" w:rsidRPr="008A17E7" w:rsidRDefault="00543F73" w:rsidP="00511613">
      <w:pPr>
        <w:spacing w:line="312" w:lineRule="auto"/>
        <w:jc w:val="both"/>
      </w:pPr>
    </w:p>
    <w:p w14:paraId="4A99CD36" w14:textId="77777777" w:rsidR="00543F73" w:rsidRPr="008A17E7" w:rsidRDefault="00543F73" w:rsidP="00511613">
      <w:pPr>
        <w:spacing w:line="312" w:lineRule="auto"/>
        <w:jc w:val="both"/>
      </w:pPr>
    </w:p>
    <w:p w14:paraId="09627F4A" w14:textId="77777777" w:rsidR="00CF7D6F" w:rsidRPr="008A17E7" w:rsidRDefault="005E52DD" w:rsidP="00511613">
      <w:pPr>
        <w:spacing w:line="312" w:lineRule="auto"/>
        <w:jc w:val="both"/>
      </w:pPr>
      <w:r w:rsidRPr="008A17E7">
        <w:t>Willkomm</w:t>
      </w:r>
    </w:p>
    <w:p w14:paraId="22B9F83A" w14:textId="77777777" w:rsidR="00CA4596" w:rsidRPr="008A17E7" w:rsidRDefault="00CA4596" w:rsidP="00511613">
      <w:pPr>
        <w:spacing w:line="312" w:lineRule="auto"/>
        <w:jc w:val="both"/>
      </w:pPr>
    </w:p>
    <w:p w14:paraId="53748157" w14:textId="77777777" w:rsidR="00781C41" w:rsidRPr="008A17E7" w:rsidRDefault="00781C41" w:rsidP="00511613">
      <w:pPr>
        <w:spacing w:line="312" w:lineRule="auto"/>
        <w:jc w:val="both"/>
      </w:pPr>
    </w:p>
    <w:sectPr w:rsidR="00781C41" w:rsidRPr="008A17E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6A1C" w14:textId="77777777" w:rsidR="009D4915" w:rsidRDefault="009D4915" w:rsidP="0015724F">
      <w:r>
        <w:separator/>
      </w:r>
    </w:p>
  </w:endnote>
  <w:endnote w:type="continuationSeparator" w:id="0">
    <w:p w14:paraId="5B82B76A" w14:textId="77777777" w:rsidR="009D4915" w:rsidRDefault="009D4915" w:rsidP="0015724F">
      <w:r>
        <w:continuationSeparator/>
      </w:r>
    </w:p>
  </w:endnote>
  <w:endnote w:type="continuationNotice" w:id="1">
    <w:p w14:paraId="1E4E6A90" w14:textId="77777777" w:rsidR="009D4915" w:rsidRDefault="009D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0EA9" w14:textId="1AEA7C42" w:rsidR="009D4915" w:rsidRPr="00C02DDF" w:rsidRDefault="009D4915">
    <w:pPr>
      <w:pStyle w:val="Fuzeile"/>
      <w:jc w:val="right"/>
      <w:rPr>
        <w:sz w:val="20"/>
        <w:szCs w:val="20"/>
      </w:rPr>
    </w:pPr>
    <w:r w:rsidRPr="00C02DDF">
      <w:rPr>
        <w:sz w:val="20"/>
        <w:szCs w:val="20"/>
      </w:rPr>
      <w:t xml:space="preserve">Seite </w:t>
    </w:r>
    <w:r w:rsidRPr="00C02DDF">
      <w:rPr>
        <w:bCs/>
        <w:sz w:val="20"/>
        <w:szCs w:val="20"/>
      </w:rPr>
      <w:fldChar w:fldCharType="begin"/>
    </w:r>
    <w:r w:rsidRPr="00C02DDF">
      <w:rPr>
        <w:bCs/>
        <w:sz w:val="20"/>
        <w:szCs w:val="20"/>
      </w:rPr>
      <w:instrText>PAGE</w:instrText>
    </w:r>
    <w:r w:rsidRPr="00C02DDF">
      <w:rPr>
        <w:bCs/>
        <w:sz w:val="20"/>
        <w:szCs w:val="20"/>
      </w:rPr>
      <w:fldChar w:fldCharType="separate"/>
    </w:r>
    <w:r w:rsidR="00910A00">
      <w:rPr>
        <w:bCs/>
        <w:noProof/>
        <w:sz w:val="20"/>
        <w:szCs w:val="20"/>
      </w:rPr>
      <w:t>8</w:t>
    </w:r>
    <w:r w:rsidRPr="00C02DDF">
      <w:rPr>
        <w:bCs/>
        <w:sz w:val="20"/>
        <w:szCs w:val="20"/>
      </w:rPr>
      <w:fldChar w:fldCharType="end"/>
    </w:r>
    <w:r w:rsidRPr="00C02DDF">
      <w:rPr>
        <w:sz w:val="20"/>
        <w:szCs w:val="20"/>
      </w:rPr>
      <w:t xml:space="preserve"> von </w:t>
    </w:r>
    <w:r w:rsidRPr="00C02DDF">
      <w:rPr>
        <w:bCs/>
        <w:sz w:val="20"/>
        <w:szCs w:val="20"/>
      </w:rPr>
      <w:fldChar w:fldCharType="begin"/>
    </w:r>
    <w:r w:rsidRPr="00C02DDF">
      <w:rPr>
        <w:bCs/>
        <w:sz w:val="20"/>
        <w:szCs w:val="20"/>
      </w:rPr>
      <w:instrText>NUMPAGES</w:instrText>
    </w:r>
    <w:r w:rsidRPr="00C02DDF">
      <w:rPr>
        <w:bCs/>
        <w:sz w:val="20"/>
        <w:szCs w:val="20"/>
      </w:rPr>
      <w:fldChar w:fldCharType="separate"/>
    </w:r>
    <w:r w:rsidR="00910A00">
      <w:rPr>
        <w:bCs/>
        <w:noProof/>
        <w:sz w:val="20"/>
        <w:szCs w:val="20"/>
      </w:rPr>
      <w:t>13</w:t>
    </w:r>
    <w:r w:rsidRPr="00C02DDF">
      <w:rPr>
        <w:bCs/>
        <w:sz w:val="20"/>
        <w:szCs w:val="20"/>
      </w:rPr>
      <w:fldChar w:fldCharType="end"/>
    </w:r>
  </w:p>
  <w:p w14:paraId="5F584E19" w14:textId="77777777" w:rsidR="009D4915" w:rsidRDefault="009D49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5F72" w14:textId="77777777" w:rsidR="009D4915" w:rsidRDefault="009D4915" w:rsidP="0015724F">
      <w:r>
        <w:separator/>
      </w:r>
    </w:p>
  </w:footnote>
  <w:footnote w:type="continuationSeparator" w:id="0">
    <w:p w14:paraId="502BA10F" w14:textId="77777777" w:rsidR="009D4915" w:rsidRDefault="009D4915" w:rsidP="0015724F">
      <w:r>
        <w:continuationSeparator/>
      </w:r>
    </w:p>
  </w:footnote>
  <w:footnote w:type="continuationNotice" w:id="1">
    <w:p w14:paraId="77E65E55" w14:textId="77777777" w:rsidR="009D4915" w:rsidRDefault="009D49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A96"/>
    <w:multiLevelType w:val="hybridMultilevel"/>
    <w:tmpl w:val="214E0E7A"/>
    <w:lvl w:ilvl="0" w:tplc="606EB18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B426E"/>
    <w:multiLevelType w:val="hybridMultilevel"/>
    <w:tmpl w:val="B866A98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971E26"/>
    <w:multiLevelType w:val="hybridMultilevel"/>
    <w:tmpl w:val="99F61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FE4BE4"/>
    <w:multiLevelType w:val="hybridMultilevel"/>
    <w:tmpl w:val="369C82C6"/>
    <w:lvl w:ilvl="0" w:tplc="6D2A876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137D28"/>
    <w:multiLevelType w:val="hybridMultilevel"/>
    <w:tmpl w:val="60B202F4"/>
    <w:lvl w:ilvl="0" w:tplc="1A2C86DE">
      <w:start w:val="2"/>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1800003E"/>
    <w:multiLevelType w:val="hybridMultilevel"/>
    <w:tmpl w:val="167E4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E54EB2"/>
    <w:multiLevelType w:val="hybridMultilevel"/>
    <w:tmpl w:val="4074013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24E46A8E"/>
    <w:multiLevelType w:val="hybridMultilevel"/>
    <w:tmpl w:val="848A2C3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A77C3C"/>
    <w:multiLevelType w:val="hybridMultilevel"/>
    <w:tmpl w:val="84D08DC4"/>
    <w:lvl w:ilvl="0" w:tplc="D5C474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F63616"/>
    <w:multiLevelType w:val="hybridMultilevel"/>
    <w:tmpl w:val="3FDE8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2A22C7"/>
    <w:multiLevelType w:val="hybridMultilevel"/>
    <w:tmpl w:val="BA909754"/>
    <w:lvl w:ilvl="0" w:tplc="1BEC712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B24FC2"/>
    <w:multiLevelType w:val="hybridMultilevel"/>
    <w:tmpl w:val="7138CEE0"/>
    <w:lvl w:ilvl="0" w:tplc="8FAE7B8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171793"/>
    <w:multiLevelType w:val="hybridMultilevel"/>
    <w:tmpl w:val="63C4B8C6"/>
    <w:lvl w:ilvl="0" w:tplc="79567300">
      <w:start w:val="1"/>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6B54C9"/>
    <w:multiLevelType w:val="hybridMultilevel"/>
    <w:tmpl w:val="0EAA1308"/>
    <w:lvl w:ilvl="0" w:tplc="7A1CE4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FE61BA"/>
    <w:multiLevelType w:val="hybridMultilevel"/>
    <w:tmpl w:val="C942841C"/>
    <w:lvl w:ilvl="0" w:tplc="691A7FDE">
      <w:start w:val="2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2D02A0"/>
    <w:multiLevelType w:val="hybridMultilevel"/>
    <w:tmpl w:val="A162A19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292748"/>
    <w:multiLevelType w:val="hybridMultilevel"/>
    <w:tmpl w:val="AC363E2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5492B20"/>
    <w:multiLevelType w:val="hybridMultilevel"/>
    <w:tmpl w:val="4D2C0B0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7BC22C8"/>
    <w:multiLevelType w:val="hybridMultilevel"/>
    <w:tmpl w:val="EDB494A8"/>
    <w:lvl w:ilvl="0" w:tplc="56509F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FD4DDC"/>
    <w:multiLevelType w:val="hybridMultilevel"/>
    <w:tmpl w:val="453EDD7E"/>
    <w:lvl w:ilvl="0" w:tplc="8640A638">
      <w:start w:val="30"/>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0" w15:restartNumberingAfterBreak="0">
    <w:nsid w:val="597523F7"/>
    <w:multiLevelType w:val="hybridMultilevel"/>
    <w:tmpl w:val="CC78BB00"/>
    <w:lvl w:ilvl="0" w:tplc="4E96527C">
      <w:start w:val="1"/>
      <w:numFmt w:val="upperRoman"/>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D9738D0"/>
    <w:multiLevelType w:val="hybridMultilevel"/>
    <w:tmpl w:val="DCC2BC64"/>
    <w:lvl w:ilvl="0" w:tplc="3C920F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12D2A"/>
    <w:multiLevelType w:val="hybridMultilevel"/>
    <w:tmpl w:val="B44E8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2B0C8A"/>
    <w:multiLevelType w:val="hybridMultilevel"/>
    <w:tmpl w:val="C4381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562E55"/>
    <w:multiLevelType w:val="hybridMultilevel"/>
    <w:tmpl w:val="4ED01002"/>
    <w:lvl w:ilvl="0" w:tplc="9F0AB96E">
      <w:start w:val="1"/>
      <w:numFmt w:val="lowerLetter"/>
      <w:lvlText w:val="%1."/>
      <w:lvlJc w:val="left"/>
      <w:pPr>
        <w:ind w:left="720" w:hanging="360"/>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4066891"/>
    <w:multiLevelType w:val="hybridMultilevel"/>
    <w:tmpl w:val="5978ECB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371F87"/>
    <w:multiLevelType w:val="hybridMultilevel"/>
    <w:tmpl w:val="12A48B58"/>
    <w:lvl w:ilvl="0" w:tplc="1C6EE9A2">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4C54FE"/>
    <w:multiLevelType w:val="hybridMultilevel"/>
    <w:tmpl w:val="47ECAA56"/>
    <w:lvl w:ilvl="0" w:tplc="2C30A12C">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0"/>
  </w:num>
  <w:num w:numId="4">
    <w:abstractNumId w:val="5"/>
  </w:num>
  <w:num w:numId="5">
    <w:abstractNumId w:val="3"/>
  </w:num>
  <w:num w:numId="6">
    <w:abstractNumId w:val="13"/>
  </w:num>
  <w:num w:numId="7">
    <w:abstractNumId w:val="12"/>
  </w:num>
  <w:num w:numId="8">
    <w:abstractNumId w:val="18"/>
  </w:num>
  <w:num w:numId="9">
    <w:abstractNumId w:val="24"/>
  </w:num>
  <w:num w:numId="10">
    <w:abstractNumId w:val="21"/>
  </w:num>
  <w:num w:numId="11">
    <w:abstractNumId w:val="4"/>
  </w:num>
  <w:num w:numId="12">
    <w:abstractNumId w:val="26"/>
  </w:num>
  <w:num w:numId="13">
    <w:abstractNumId w:val="16"/>
  </w:num>
  <w:num w:numId="14">
    <w:abstractNumId w:val="11"/>
  </w:num>
  <w:num w:numId="15">
    <w:abstractNumId w:val="1"/>
  </w:num>
  <w:num w:numId="16">
    <w:abstractNumId w:val="15"/>
  </w:num>
  <w:num w:numId="17">
    <w:abstractNumId w:val="25"/>
  </w:num>
  <w:num w:numId="18">
    <w:abstractNumId w:val="7"/>
  </w:num>
  <w:num w:numId="19">
    <w:abstractNumId w:val="17"/>
  </w:num>
  <w:num w:numId="20">
    <w:abstractNumId w:val="14"/>
  </w:num>
  <w:num w:numId="21">
    <w:abstractNumId w:val="27"/>
  </w:num>
  <w:num w:numId="22">
    <w:abstractNumId w:val="19"/>
  </w:num>
  <w:num w:numId="23">
    <w:abstractNumId w:val="0"/>
  </w:num>
  <w:num w:numId="24">
    <w:abstractNumId w:val="6"/>
  </w:num>
  <w:num w:numId="25">
    <w:abstractNumId w:val="23"/>
  </w:num>
  <w:num w:numId="26">
    <w:abstractNumId w:val="22"/>
  </w:num>
  <w:num w:numId="27">
    <w:abstractNumId w:val="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C5"/>
    <w:rsid w:val="00000960"/>
    <w:rsid w:val="000054BF"/>
    <w:rsid w:val="00005CC4"/>
    <w:rsid w:val="00010121"/>
    <w:rsid w:val="00011513"/>
    <w:rsid w:val="0002199A"/>
    <w:rsid w:val="0002328B"/>
    <w:rsid w:val="00023C26"/>
    <w:rsid w:val="000310CE"/>
    <w:rsid w:val="00034BEC"/>
    <w:rsid w:val="00035509"/>
    <w:rsid w:val="00043F99"/>
    <w:rsid w:val="00044909"/>
    <w:rsid w:val="0004582F"/>
    <w:rsid w:val="00051D23"/>
    <w:rsid w:val="0005582E"/>
    <w:rsid w:val="0006213A"/>
    <w:rsid w:val="00063569"/>
    <w:rsid w:val="00067A4D"/>
    <w:rsid w:val="000727C0"/>
    <w:rsid w:val="00073C94"/>
    <w:rsid w:val="00077460"/>
    <w:rsid w:val="00083031"/>
    <w:rsid w:val="00083771"/>
    <w:rsid w:val="00083BF3"/>
    <w:rsid w:val="000863F0"/>
    <w:rsid w:val="00093BC4"/>
    <w:rsid w:val="00094D3C"/>
    <w:rsid w:val="00097852"/>
    <w:rsid w:val="000A0ECC"/>
    <w:rsid w:val="000A0ED2"/>
    <w:rsid w:val="000A64A9"/>
    <w:rsid w:val="000B0CA4"/>
    <w:rsid w:val="000B1AED"/>
    <w:rsid w:val="000C2547"/>
    <w:rsid w:val="000C5DF4"/>
    <w:rsid w:val="000C771D"/>
    <w:rsid w:val="000C7A08"/>
    <w:rsid w:val="000C7E9B"/>
    <w:rsid w:val="000D148F"/>
    <w:rsid w:val="000E3679"/>
    <w:rsid w:val="000F19A4"/>
    <w:rsid w:val="000F1AEC"/>
    <w:rsid w:val="000F2821"/>
    <w:rsid w:val="000F5298"/>
    <w:rsid w:val="001001C1"/>
    <w:rsid w:val="00100682"/>
    <w:rsid w:val="001018E3"/>
    <w:rsid w:val="0010198E"/>
    <w:rsid w:val="00103426"/>
    <w:rsid w:val="00103FB0"/>
    <w:rsid w:val="00106CD6"/>
    <w:rsid w:val="0011079C"/>
    <w:rsid w:val="001116ED"/>
    <w:rsid w:val="0011554E"/>
    <w:rsid w:val="001222D5"/>
    <w:rsid w:val="00137151"/>
    <w:rsid w:val="0014014A"/>
    <w:rsid w:val="00140292"/>
    <w:rsid w:val="00141E43"/>
    <w:rsid w:val="0014309F"/>
    <w:rsid w:val="00143873"/>
    <w:rsid w:val="001445EA"/>
    <w:rsid w:val="001561AE"/>
    <w:rsid w:val="0015724F"/>
    <w:rsid w:val="00177CFB"/>
    <w:rsid w:val="00187CFE"/>
    <w:rsid w:val="00191FF9"/>
    <w:rsid w:val="001959B9"/>
    <w:rsid w:val="00196B17"/>
    <w:rsid w:val="001A1C07"/>
    <w:rsid w:val="001A323C"/>
    <w:rsid w:val="001B0F15"/>
    <w:rsid w:val="001B5973"/>
    <w:rsid w:val="001C12E8"/>
    <w:rsid w:val="001C5CBF"/>
    <w:rsid w:val="001C7252"/>
    <w:rsid w:val="001D0F1D"/>
    <w:rsid w:val="001D6733"/>
    <w:rsid w:val="001E1E35"/>
    <w:rsid w:val="001E705B"/>
    <w:rsid w:val="001F21EE"/>
    <w:rsid w:val="0020278F"/>
    <w:rsid w:val="00203FF6"/>
    <w:rsid w:val="002046CA"/>
    <w:rsid w:val="00205C05"/>
    <w:rsid w:val="00206429"/>
    <w:rsid w:val="00232D46"/>
    <w:rsid w:val="00234455"/>
    <w:rsid w:val="00240798"/>
    <w:rsid w:val="0024164D"/>
    <w:rsid w:val="0024458A"/>
    <w:rsid w:val="002567F7"/>
    <w:rsid w:val="0026676F"/>
    <w:rsid w:val="00266E6F"/>
    <w:rsid w:val="002676AE"/>
    <w:rsid w:val="002750E6"/>
    <w:rsid w:val="00275489"/>
    <w:rsid w:val="0027595D"/>
    <w:rsid w:val="00277B80"/>
    <w:rsid w:val="00280F43"/>
    <w:rsid w:val="0028165C"/>
    <w:rsid w:val="00283AD5"/>
    <w:rsid w:val="00286DC5"/>
    <w:rsid w:val="00287AFE"/>
    <w:rsid w:val="002914CE"/>
    <w:rsid w:val="00291D90"/>
    <w:rsid w:val="002959F3"/>
    <w:rsid w:val="002A193F"/>
    <w:rsid w:val="002A3FA1"/>
    <w:rsid w:val="002B103E"/>
    <w:rsid w:val="002B4801"/>
    <w:rsid w:val="002B6E73"/>
    <w:rsid w:val="002C0CEF"/>
    <w:rsid w:val="002C50C0"/>
    <w:rsid w:val="002D2ED5"/>
    <w:rsid w:val="002E07EE"/>
    <w:rsid w:val="002E0918"/>
    <w:rsid w:val="002E1373"/>
    <w:rsid w:val="002F03D9"/>
    <w:rsid w:val="002F33D5"/>
    <w:rsid w:val="002F5841"/>
    <w:rsid w:val="00305E2E"/>
    <w:rsid w:val="003105CA"/>
    <w:rsid w:val="00312B07"/>
    <w:rsid w:val="00312DA4"/>
    <w:rsid w:val="00315D12"/>
    <w:rsid w:val="003565BB"/>
    <w:rsid w:val="003667A2"/>
    <w:rsid w:val="003671BB"/>
    <w:rsid w:val="00370B19"/>
    <w:rsid w:val="003711CC"/>
    <w:rsid w:val="003717A9"/>
    <w:rsid w:val="003744BD"/>
    <w:rsid w:val="00382533"/>
    <w:rsid w:val="00387C2D"/>
    <w:rsid w:val="003A0DD4"/>
    <w:rsid w:val="003A419C"/>
    <w:rsid w:val="003A795D"/>
    <w:rsid w:val="003B136C"/>
    <w:rsid w:val="003B3B64"/>
    <w:rsid w:val="003C490B"/>
    <w:rsid w:val="003D00BB"/>
    <w:rsid w:val="003D1DC0"/>
    <w:rsid w:val="003D33C4"/>
    <w:rsid w:val="003D3FAB"/>
    <w:rsid w:val="003D6288"/>
    <w:rsid w:val="003E0FA1"/>
    <w:rsid w:val="003E554C"/>
    <w:rsid w:val="003E56F3"/>
    <w:rsid w:val="003E58BD"/>
    <w:rsid w:val="003F798C"/>
    <w:rsid w:val="00411CAF"/>
    <w:rsid w:val="00416FF4"/>
    <w:rsid w:val="00420257"/>
    <w:rsid w:val="00420CC9"/>
    <w:rsid w:val="004238E3"/>
    <w:rsid w:val="00437CA9"/>
    <w:rsid w:val="00444A97"/>
    <w:rsid w:val="004457AA"/>
    <w:rsid w:val="00447C06"/>
    <w:rsid w:val="00451C65"/>
    <w:rsid w:val="0046665F"/>
    <w:rsid w:val="00470978"/>
    <w:rsid w:val="00471FB8"/>
    <w:rsid w:val="004808F2"/>
    <w:rsid w:val="00483100"/>
    <w:rsid w:val="004905B6"/>
    <w:rsid w:val="00492A17"/>
    <w:rsid w:val="004A11DE"/>
    <w:rsid w:val="004A482B"/>
    <w:rsid w:val="004A5808"/>
    <w:rsid w:val="004B05B9"/>
    <w:rsid w:val="004B1ED9"/>
    <w:rsid w:val="004B3CA4"/>
    <w:rsid w:val="004C32EE"/>
    <w:rsid w:val="004C3349"/>
    <w:rsid w:val="004C4F99"/>
    <w:rsid w:val="004D1269"/>
    <w:rsid w:val="004D50CF"/>
    <w:rsid w:val="004D616F"/>
    <w:rsid w:val="004E3A5F"/>
    <w:rsid w:val="004E5BE8"/>
    <w:rsid w:val="004E6591"/>
    <w:rsid w:val="004F31EB"/>
    <w:rsid w:val="00500F8C"/>
    <w:rsid w:val="00502CAE"/>
    <w:rsid w:val="005061DB"/>
    <w:rsid w:val="00507B35"/>
    <w:rsid w:val="00511613"/>
    <w:rsid w:val="00511D2F"/>
    <w:rsid w:val="00511DCD"/>
    <w:rsid w:val="00513D50"/>
    <w:rsid w:val="0051613F"/>
    <w:rsid w:val="00531A7A"/>
    <w:rsid w:val="00536888"/>
    <w:rsid w:val="00536D5E"/>
    <w:rsid w:val="00537FAF"/>
    <w:rsid w:val="00543F73"/>
    <w:rsid w:val="00544598"/>
    <w:rsid w:val="005475C2"/>
    <w:rsid w:val="00554197"/>
    <w:rsid w:val="00554F74"/>
    <w:rsid w:val="005552D0"/>
    <w:rsid w:val="0056411D"/>
    <w:rsid w:val="00566044"/>
    <w:rsid w:val="005734B7"/>
    <w:rsid w:val="005757E7"/>
    <w:rsid w:val="00576C3B"/>
    <w:rsid w:val="0058058B"/>
    <w:rsid w:val="0058580A"/>
    <w:rsid w:val="005A00B5"/>
    <w:rsid w:val="005B3AD2"/>
    <w:rsid w:val="005C5177"/>
    <w:rsid w:val="005D701B"/>
    <w:rsid w:val="005E3A1C"/>
    <w:rsid w:val="005E52DD"/>
    <w:rsid w:val="005F0B82"/>
    <w:rsid w:val="005F2CCE"/>
    <w:rsid w:val="00622B12"/>
    <w:rsid w:val="00622BB7"/>
    <w:rsid w:val="00623098"/>
    <w:rsid w:val="00625135"/>
    <w:rsid w:val="00625FEA"/>
    <w:rsid w:val="00631E5A"/>
    <w:rsid w:val="00632CAD"/>
    <w:rsid w:val="006363BD"/>
    <w:rsid w:val="0064049C"/>
    <w:rsid w:val="006407C6"/>
    <w:rsid w:val="00642CBC"/>
    <w:rsid w:val="0064329C"/>
    <w:rsid w:val="0064469F"/>
    <w:rsid w:val="00645DDF"/>
    <w:rsid w:val="00652647"/>
    <w:rsid w:val="006534F3"/>
    <w:rsid w:val="00661D5E"/>
    <w:rsid w:val="00662ACB"/>
    <w:rsid w:val="006652B8"/>
    <w:rsid w:val="00671AC0"/>
    <w:rsid w:val="00672700"/>
    <w:rsid w:val="00674856"/>
    <w:rsid w:val="00677672"/>
    <w:rsid w:val="00680A64"/>
    <w:rsid w:val="0069143A"/>
    <w:rsid w:val="006A5802"/>
    <w:rsid w:val="006B7959"/>
    <w:rsid w:val="006C2439"/>
    <w:rsid w:val="006C3857"/>
    <w:rsid w:val="006C3E49"/>
    <w:rsid w:val="006D496B"/>
    <w:rsid w:val="006D5FC5"/>
    <w:rsid w:val="006D6882"/>
    <w:rsid w:val="006E3E38"/>
    <w:rsid w:val="006E7A46"/>
    <w:rsid w:val="006F2126"/>
    <w:rsid w:val="00700769"/>
    <w:rsid w:val="00705FCB"/>
    <w:rsid w:val="00714FAD"/>
    <w:rsid w:val="00717EE2"/>
    <w:rsid w:val="00720C95"/>
    <w:rsid w:val="007316FB"/>
    <w:rsid w:val="0073330A"/>
    <w:rsid w:val="00733DC3"/>
    <w:rsid w:val="007409F2"/>
    <w:rsid w:val="0074148B"/>
    <w:rsid w:val="00742315"/>
    <w:rsid w:val="00746A1B"/>
    <w:rsid w:val="00746D4F"/>
    <w:rsid w:val="00747FA3"/>
    <w:rsid w:val="0075052D"/>
    <w:rsid w:val="0075709F"/>
    <w:rsid w:val="00763844"/>
    <w:rsid w:val="00764B79"/>
    <w:rsid w:val="0076541B"/>
    <w:rsid w:val="00771106"/>
    <w:rsid w:val="0077311B"/>
    <w:rsid w:val="0077328D"/>
    <w:rsid w:val="00781C41"/>
    <w:rsid w:val="00782560"/>
    <w:rsid w:val="00782D9C"/>
    <w:rsid w:val="00783FFE"/>
    <w:rsid w:val="007857F9"/>
    <w:rsid w:val="007915A1"/>
    <w:rsid w:val="007942E4"/>
    <w:rsid w:val="0079530C"/>
    <w:rsid w:val="00796DBB"/>
    <w:rsid w:val="007A4CBB"/>
    <w:rsid w:val="007A57C9"/>
    <w:rsid w:val="007A7070"/>
    <w:rsid w:val="007B145D"/>
    <w:rsid w:val="007B3FD7"/>
    <w:rsid w:val="007B534B"/>
    <w:rsid w:val="007B7550"/>
    <w:rsid w:val="007C098B"/>
    <w:rsid w:val="007C5BA3"/>
    <w:rsid w:val="007E4BB5"/>
    <w:rsid w:val="007E4FFD"/>
    <w:rsid w:val="007F0A96"/>
    <w:rsid w:val="007F2083"/>
    <w:rsid w:val="007F39E0"/>
    <w:rsid w:val="007F48B0"/>
    <w:rsid w:val="007F56D8"/>
    <w:rsid w:val="00800978"/>
    <w:rsid w:val="00801698"/>
    <w:rsid w:val="00807572"/>
    <w:rsid w:val="00807A5F"/>
    <w:rsid w:val="00813343"/>
    <w:rsid w:val="00814CD5"/>
    <w:rsid w:val="00821BFF"/>
    <w:rsid w:val="00824737"/>
    <w:rsid w:val="00825BC1"/>
    <w:rsid w:val="00826339"/>
    <w:rsid w:val="0083202E"/>
    <w:rsid w:val="00835F94"/>
    <w:rsid w:val="008421D8"/>
    <w:rsid w:val="00843813"/>
    <w:rsid w:val="00845666"/>
    <w:rsid w:val="00851486"/>
    <w:rsid w:val="00853B8F"/>
    <w:rsid w:val="00853CD4"/>
    <w:rsid w:val="00863801"/>
    <w:rsid w:val="0086393E"/>
    <w:rsid w:val="0086534D"/>
    <w:rsid w:val="0087289C"/>
    <w:rsid w:val="00875EB4"/>
    <w:rsid w:val="008912FE"/>
    <w:rsid w:val="00892368"/>
    <w:rsid w:val="00892DE2"/>
    <w:rsid w:val="00897A2C"/>
    <w:rsid w:val="008A0A5D"/>
    <w:rsid w:val="008A17E7"/>
    <w:rsid w:val="008A4988"/>
    <w:rsid w:val="008A4A50"/>
    <w:rsid w:val="008B4712"/>
    <w:rsid w:val="008B77B5"/>
    <w:rsid w:val="008E02AF"/>
    <w:rsid w:val="008E24B0"/>
    <w:rsid w:val="008F2235"/>
    <w:rsid w:val="008F2C8E"/>
    <w:rsid w:val="00900212"/>
    <w:rsid w:val="00902579"/>
    <w:rsid w:val="00902830"/>
    <w:rsid w:val="00903197"/>
    <w:rsid w:val="00903243"/>
    <w:rsid w:val="009034DA"/>
    <w:rsid w:val="00903606"/>
    <w:rsid w:val="00910A00"/>
    <w:rsid w:val="00917D3F"/>
    <w:rsid w:val="0092044F"/>
    <w:rsid w:val="009250A2"/>
    <w:rsid w:val="00926B0A"/>
    <w:rsid w:val="00932E22"/>
    <w:rsid w:val="0093626E"/>
    <w:rsid w:val="0095051D"/>
    <w:rsid w:val="0095669E"/>
    <w:rsid w:val="009628F6"/>
    <w:rsid w:val="0096290A"/>
    <w:rsid w:val="00963118"/>
    <w:rsid w:val="00966B8C"/>
    <w:rsid w:val="009676C1"/>
    <w:rsid w:val="009758A1"/>
    <w:rsid w:val="00984109"/>
    <w:rsid w:val="009936FE"/>
    <w:rsid w:val="009B4872"/>
    <w:rsid w:val="009D1359"/>
    <w:rsid w:val="009D4171"/>
    <w:rsid w:val="009D423D"/>
    <w:rsid w:val="009D4641"/>
    <w:rsid w:val="009D4915"/>
    <w:rsid w:val="009D4B09"/>
    <w:rsid w:val="009D6929"/>
    <w:rsid w:val="009E1276"/>
    <w:rsid w:val="009E56AE"/>
    <w:rsid w:val="009E71FA"/>
    <w:rsid w:val="009F1CD4"/>
    <w:rsid w:val="009F2F25"/>
    <w:rsid w:val="00A00634"/>
    <w:rsid w:val="00A01042"/>
    <w:rsid w:val="00A01DAC"/>
    <w:rsid w:val="00A11B17"/>
    <w:rsid w:val="00A1314E"/>
    <w:rsid w:val="00A133B8"/>
    <w:rsid w:val="00A2590A"/>
    <w:rsid w:val="00A32EED"/>
    <w:rsid w:val="00A34778"/>
    <w:rsid w:val="00A52CBB"/>
    <w:rsid w:val="00A54F8F"/>
    <w:rsid w:val="00A60EE0"/>
    <w:rsid w:val="00A643EC"/>
    <w:rsid w:val="00A65D56"/>
    <w:rsid w:val="00A70D88"/>
    <w:rsid w:val="00A70EDC"/>
    <w:rsid w:val="00A725B8"/>
    <w:rsid w:val="00A76498"/>
    <w:rsid w:val="00A8219F"/>
    <w:rsid w:val="00A821C0"/>
    <w:rsid w:val="00A92C3F"/>
    <w:rsid w:val="00A94DB7"/>
    <w:rsid w:val="00A96005"/>
    <w:rsid w:val="00A9649B"/>
    <w:rsid w:val="00AA1F73"/>
    <w:rsid w:val="00AB03FD"/>
    <w:rsid w:val="00AB2288"/>
    <w:rsid w:val="00AC0D53"/>
    <w:rsid w:val="00AC14C4"/>
    <w:rsid w:val="00AC446B"/>
    <w:rsid w:val="00AD046C"/>
    <w:rsid w:val="00AD0804"/>
    <w:rsid w:val="00AD1947"/>
    <w:rsid w:val="00AD5A13"/>
    <w:rsid w:val="00AD78B7"/>
    <w:rsid w:val="00AE25AF"/>
    <w:rsid w:val="00AE57A1"/>
    <w:rsid w:val="00AF1C2A"/>
    <w:rsid w:val="00AF4AB0"/>
    <w:rsid w:val="00AF5991"/>
    <w:rsid w:val="00AF59AA"/>
    <w:rsid w:val="00AF6B2E"/>
    <w:rsid w:val="00B07964"/>
    <w:rsid w:val="00B12728"/>
    <w:rsid w:val="00B12DBA"/>
    <w:rsid w:val="00B142F7"/>
    <w:rsid w:val="00B155C3"/>
    <w:rsid w:val="00B25098"/>
    <w:rsid w:val="00B26374"/>
    <w:rsid w:val="00B322D6"/>
    <w:rsid w:val="00B36FA6"/>
    <w:rsid w:val="00B4053A"/>
    <w:rsid w:val="00B4367D"/>
    <w:rsid w:val="00B5782B"/>
    <w:rsid w:val="00B75344"/>
    <w:rsid w:val="00B75D8C"/>
    <w:rsid w:val="00B8391A"/>
    <w:rsid w:val="00B86D60"/>
    <w:rsid w:val="00B96525"/>
    <w:rsid w:val="00BA6E4F"/>
    <w:rsid w:val="00BB2433"/>
    <w:rsid w:val="00BB2CB3"/>
    <w:rsid w:val="00BC2C3D"/>
    <w:rsid w:val="00BC308E"/>
    <w:rsid w:val="00BC71B7"/>
    <w:rsid w:val="00BD2074"/>
    <w:rsid w:val="00BD3541"/>
    <w:rsid w:val="00BD3569"/>
    <w:rsid w:val="00BE0988"/>
    <w:rsid w:val="00BE1575"/>
    <w:rsid w:val="00BF1358"/>
    <w:rsid w:val="00C02DDF"/>
    <w:rsid w:val="00C07E0B"/>
    <w:rsid w:val="00C1059D"/>
    <w:rsid w:val="00C2265C"/>
    <w:rsid w:val="00C22B2E"/>
    <w:rsid w:val="00C264DE"/>
    <w:rsid w:val="00C35949"/>
    <w:rsid w:val="00C365E7"/>
    <w:rsid w:val="00C44B48"/>
    <w:rsid w:val="00C456B4"/>
    <w:rsid w:val="00C5397A"/>
    <w:rsid w:val="00C5753B"/>
    <w:rsid w:val="00C6343C"/>
    <w:rsid w:val="00C65CBA"/>
    <w:rsid w:val="00C72246"/>
    <w:rsid w:val="00C736E8"/>
    <w:rsid w:val="00C819CA"/>
    <w:rsid w:val="00C82AA0"/>
    <w:rsid w:val="00C83650"/>
    <w:rsid w:val="00C847E7"/>
    <w:rsid w:val="00C90D4A"/>
    <w:rsid w:val="00C90EAA"/>
    <w:rsid w:val="00C92075"/>
    <w:rsid w:val="00C96E90"/>
    <w:rsid w:val="00CA2AAE"/>
    <w:rsid w:val="00CA4596"/>
    <w:rsid w:val="00CB1452"/>
    <w:rsid w:val="00CB2432"/>
    <w:rsid w:val="00CC2E81"/>
    <w:rsid w:val="00CD0B98"/>
    <w:rsid w:val="00CD4DC1"/>
    <w:rsid w:val="00CD61BC"/>
    <w:rsid w:val="00CD6222"/>
    <w:rsid w:val="00CD7897"/>
    <w:rsid w:val="00CE415C"/>
    <w:rsid w:val="00CE5880"/>
    <w:rsid w:val="00CE5F2F"/>
    <w:rsid w:val="00CE6C83"/>
    <w:rsid w:val="00CE6FFF"/>
    <w:rsid w:val="00CF01C6"/>
    <w:rsid w:val="00CF0C65"/>
    <w:rsid w:val="00CF30A1"/>
    <w:rsid w:val="00CF700A"/>
    <w:rsid w:val="00CF7D6F"/>
    <w:rsid w:val="00D110B6"/>
    <w:rsid w:val="00D12932"/>
    <w:rsid w:val="00D131B4"/>
    <w:rsid w:val="00D17314"/>
    <w:rsid w:val="00D26B85"/>
    <w:rsid w:val="00D366D3"/>
    <w:rsid w:val="00D42561"/>
    <w:rsid w:val="00D43FB3"/>
    <w:rsid w:val="00D44387"/>
    <w:rsid w:val="00D508F4"/>
    <w:rsid w:val="00D53731"/>
    <w:rsid w:val="00D5558D"/>
    <w:rsid w:val="00D57723"/>
    <w:rsid w:val="00D57787"/>
    <w:rsid w:val="00D62666"/>
    <w:rsid w:val="00D67D56"/>
    <w:rsid w:val="00D70B09"/>
    <w:rsid w:val="00D73764"/>
    <w:rsid w:val="00D746AD"/>
    <w:rsid w:val="00D75851"/>
    <w:rsid w:val="00D773AE"/>
    <w:rsid w:val="00D865E7"/>
    <w:rsid w:val="00D87AF1"/>
    <w:rsid w:val="00D93D0B"/>
    <w:rsid w:val="00D94B32"/>
    <w:rsid w:val="00D97935"/>
    <w:rsid w:val="00DB3369"/>
    <w:rsid w:val="00DB33D2"/>
    <w:rsid w:val="00DC0E6B"/>
    <w:rsid w:val="00DC4988"/>
    <w:rsid w:val="00DC71C7"/>
    <w:rsid w:val="00DD0BDB"/>
    <w:rsid w:val="00DD208D"/>
    <w:rsid w:val="00DD4C13"/>
    <w:rsid w:val="00DE0674"/>
    <w:rsid w:val="00DE4E17"/>
    <w:rsid w:val="00DF0716"/>
    <w:rsid w:val="00E02E13"/>
    <w:rsid w:val="00E0727D"/>
    <w:rsid w:val="00E14213"/>
    <w:rsid w:val="00E14C47"/>
    <w:rsid w:val="00E248DB"/>
    <w:rsid w:val="00E30574"/>
    <w:rsid w:val="00E3282A"/>
    <w:rsid w:val="00E359B2"/>
    <w:rsid w:val="00E36D8F"/>
    <w:rsid w:val="00E40F8D"/>
    <w:rsid w:val="00E50145"/>
    <w:rsid w:val="00E5504D"/>
    <w:rsid w:val="00E9075F"/>
    <w:rsid w:val="00E9437D"/>
    <w:rsid w:val="00E95B28"/>
    <w:rsid w:val="00E96E3C"/>
    <w:rsid w:val="00EA4F93"/>
    <w:rsid w:val="00EB552D"/>
    <w:rsid w:val="00EB7271"/>
    <w:rsid w:val="00ED6C1D"/>
    <w:rsid w:val="00EE010A"/>
    <w:rsid w:val="00EE2EB6"/>
    <w:rsid w:val="00EE7B91"/>
    <w:rsid w:val="00EE7F02"/>
    <w:rsid w:val="00EF684A"/>
    <w:rsid w:val="00F0064C"/>
    <w:rsid w:val="00F0182B"/>
    <w:rsid w:val="00F01FAC"/>
    <w:rsid w:val="00F03AC6"/>
    <w:rsid w:val="00F202B6"/>
    <w:rsid w:val="00F208C9"/>
    <w:rsid w:val="00F21CA8"/>
    <w:rsid w:val="00F22C72"/>
    <w:rsid w:val="00F307D5"/>
    <w:rsid w:val="00F31EB5"/>
    <w:rsid w:val="00F32108"/>
    <w:rsid w:val="00F361C4"/>
    <w:rsid w:val="00F44D7C"/>
    <w:rsid w:val="00F60318"/>
    <w:rsid w:val="00F60A2A"/>
    <w:rsid w:val="00F66BAC"/>
    <w:rsid w:val="00F707E1"/>
    <w:rsid w:val="00F72106"/>
    <w:rsid w:val="00F7732B"/>
    <w:rsid w:val="00F82377"/>
    <w:rsid w:val="00F96E0D"/>
    <w:rsid w:val="00FA23AD"/>
    <w:rsid w:val="00FA7C6F"/>
    <w:rsid w:val="00FB0A69"/>
    <w:rsid w:val="00FB0CC8"/>
    <w:rsid w:val="00FB21AB"/>
    <w:rsid w:val="00FB424E"/>
    <w:rsid w:val="00FB7C0E"/>
    <w:rsid w:val="00FC2965"/>
    <w:rsid w:val="00FC7DAC"/>
    <w:rsid w:val="00FD09CF"/>
    <w:rsid w:val="00FE12D8"/>
    <w:rsid w:val="00FE765F"/>
    <w:rsid w:val="00FF0793"/>
    <w:rsid w:val="00FF6E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10A532F"/>
  <w15:chartTrackingRefBased/>
  <w15:docId w15:val="{F92D1FF7-CBE3-477B-B833-BB46A39D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FC5"/>
    <w:rPr>
      <w:rFonts w:ascii="Arial" w:eastAsia="Times New Roman" w:hAnsi="Arial" w:cs="Arial"/>
      <w:sz w:val="22"/>
      <w:szCs w:val="22"/>
    </w:rPr>
  </w:style>
  <w:style w:type="paragraph" w:styleId="berschrift1">
    <w:name w:val="heading 1"/>
    <w:basedOn w:val="Standard"/>
    <w:next w:val="Standard"/>
    <w:link w:val="berschrift1Zchn"/>
    <w:qFormat/>
    <w:rsid w:val="006D5FC5"/>
    <w:pPr>
      <w:keepNext/>
      <w:jc w:val="both"/>
      <w:outlineLvl w:val="0"/>
    </w:pPr>
    <w:rPr>
      <w:rFonts w:cs="Times New Roman"/>
      <w:b/>
      <w:sz w:val="20"/>
      <w:szCs w:val="20"/>
    </w:rPr>
  </w:style>
  <w:style w:type="paragraph" w:styleId="berschrift4">
    <w:name w:val="heading 4"/>
    <w:basedOn w:val="Standard"/>
    <w:next w:val="Standard"/>
    <w:link w:val="berschrift4Zchn"/>
    <w:uiPriority w:val="9"/>
    <w:semiHidden/>
    <w:unhideWhenUsed/>
    <w:qFormat/>
    <w:rsid w:val="007A7070"/>
    <w:pPr>
      <w:keepNext/>
      <w:spacing w:before="240" w:after="60"/>
      <w:outlineLvl w:val="3"/>
    </w:pPr>
    <w:rPr>
      <w:rFonts w:ascii="Calibri"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6D5FC5"/>
    <w:pPr>
      <w:pBdr>
        <w:bottom w:val="single" w:sz="18" w:space="5" w:color="auto"/>
      </w:pBdr>
      <w:jc w:val="center"/>
    </w:pPr>
    <w:rPr>
      <w:b/>
      <w:spacing w:val="60"/>
      <w:sz w:val="48"/>
    </w:rPr>
  </w:style>
  <w:style w:type="character" w:customStyle="1" w:styleId="TitelZchn">
    <w:name w:val="Titel Zchn"/>
    <w:link w:val="Titel"/>
    <w:rsid w:val="006D5FC5"/>
    <w:rPr>
      <w:rFonts w:ascii="Arial" w:eastAsia="Times New Roman" w:hAnsi="Arial" w:cs="Arial"/>
      <w:b/>
      <w:spacing w:val="60"/>
      <w:sz w:val="48"/>
      <w:lang w:eastAsia="de-DE"/>
    </w:rPr>
  </w:style>
  <w:style w:type="paragraph" w:styleId="Sprechblasentext">
    <w:name w:val="Balloon Text"/>
    <w:basedOn w:val="Standard"/>
    <w:link w:val="SprechblasentextZchn"/>
    <w:uiPriority w:val="99"/>
    <w:semiHidden/>
    <w:unhideWhenUsed/>
    <w:rsid w:val="006D5FC5"/>
    <w:rPr>
      <w:rFonts w:ascii="Tahoma" w:hAnsi="Tahoma" w:cs="Tahoma"/>
      <w:sz w:val="16"/>
      <w:szCs w:val="16"/>
    </w:rPr>
  </w:style>
  <w:style w:type="character" w:customStyle="1" w:styleId="SprechblasentextZchn">
    <w:name w:val="Sprechblasentext Zchn"/>
    <w:link w:val="Sprechblasentext"/>
    <w:uiPriority w:val="99"/>
    <w:semiHidden/>
    <w:rsid w:val="006D5FC5"/>
    <w:rPr>
      <w:rFonts w:ascii="Tahoma" w:eastAsia="Times New Roman" w:hAnsi="Tahoma" w:cs="Tahoma"/>
      <w:sz w:val="16"/>
      <w:szCs w:val="16"/>
      <w:lang w:eastAsia="de-DE"/>
    </w:rPr>
  </w:style>
  <w:style w:type="character" w:customStyle="1" w:styleId="berschrift1Zchn">
    <w:name w:val="Überschrift 1 Zchn"/>
    <w:link w:val="berschrift1"/>
    <w:rsid w:val="006D5FC5"/>
    <w:rPr>
      <w:rFonts w:ascii="Arial" w:eastAsia="Times New Roman" w:hAnsi="Arial" w:cs="Times New Roman"/>
      <w:b/>
      <w:sz w:val="20"/>
      <w:szCs w:val="20"/>
      <w:lang w:eastAsia="de-DE"/>
    </w:rPr>
  </w:style>
  <w:style w:type="table" w:styleId="Tabellenraster">
    <w:name w:val="Table Grid"/>
    <w:basedOn w:val="NormaleTabelle"/>
    <w:uiPriority w:val="59"/>
    <w:rsid w:val="0077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71106"/>
    <w:rPr>
      <w:color w:val="0000FF"/>
      <w:u w:val="single"/>
    </w:rPr>
  </w:style>
  <w:style w:type="character" w:customStyle="1" w:styleId="BesuchterHyperlink">
    <w:name w:val="BesuchterHyperlink"/>
    <w:uiPriority w:val="99"/>
    <w:semiHidden/>
    <w:unhideWhenUsed/>
    <w:rsid w:val="00771106"/>
    <w:rPr>
      <w:color w:val="800080"/>
      <w:u w:val="single"/>
    </w:rPr>
  </w:style>
  <w:style w:type="character" w:customStyle="1" w:styleId="berschrift4Zchn">
    <w:name w:val="Überschrift 4 Zchn"/>
    <w:link w:val="berschrift4"/>
    <w:uiPriority w:val="9"/>
    <w:semiHidden/>
    <w:rsid w:val="007A7070"/>
    <w:rPr>
      <w:rFonts w:ascii="Calibri" w:eastAsia="Times New Roman" w:hAnsi="Calibri" w:cs="Times New Roman"/>
      <w:b/>
      <w:bCs/>
      <w:sz w:val="28"/>
      <w:szCs w:val="28"/>
    </w:rPr>
  </w:style>
  <w:style w:type="paragraph" w:styleId="Textkrper-Zeileneinzug">
    <w:name w:val="Body Text Indent"/>
    <w:basedOn w:val="Standard"/>
    <w:link w:val="Textkrper-ZeileneinzugZchn"/>
    <w:rsid w:val="007A7070"/>
    <w:pPr>
      <w:ind w:left="284" w:hanging="284"/>
    </w:pPr>
    <w:rPr>
      <w:rFonts w:cs="Times New Roman"/>
      <w:b/>
      <w:szCs w:val="20"/>
    </w:rPr>
  </w:style>
  <w:style w:type="character" w:customStyle="1" w:styleId="Textkrper-ZeileneinzugZchn">
    <w:name w:val="Textkörper-Zeileneinzug Zchn"/>
    <w:link w:val="Textkrper-Zeileneinzug"/>
    <w:rsid w:val="007A7070"/>
    <w:rPr>
      <w:rFonts w:ascii="Arial" w:eastAsia="Times New Roman" w:hAnsi="Arial"/>
      <w:b/>
      <w:sz w:val="22"/>
    </w:rPr>
  </w:style>
  <w:style w:type="paragraph" w:styleId="Textkrper-Einzug3">
    <w:name w:val="Body Text Indent 3"/>
    <w:basedOn w:val="Standard"/>
    <w:link w:val="Textkrper-Einzug3Zchn"/>
    <w:rsid w:val="007A7070"/>
    <w:pPr>
      <w:ind w:left="284" w:hanging="284"/>
      <w:jc w:val="both"/>
    </w:pPr>
    <w:rPr>
      <w:rFonts w:cs="Times New Roman"/>
      <w:szCs w:val="20"/>
    </w:rPr>
  </w:style>
  <w:style w:type="character" w:customStyle="1" w:styleId="Textkrper-Einzug3Zchn">
    <w:name w:val="Textkörper-Einzug 3 Zchn"/>
    <w:link w:val="Textkrper-Einzug3"/>
    <w:rsid w:val="007A7070"/>
    <w:rPr>
      <w:rFonts w:ascii="Arial" w:eastAsia="Times New Roman" w:hAnsi="Arial"/>
      <w:sz w:val="22"/>
    </w:rPr>
  </w:style>
  <w:style w:type="paragraph" w:styleId="Kopfzeile">
    <w:name w:val="header"/>
    <w:basedOn w:val="Standard"/>
    <w:link w:val="KopfzeileZchn"/>
    <w:uiPriority w:val="99"/>
    <w:unhideWhenUsed/>
    <w:rsid w:val="0015724F"/>
    <w:pPr>
      <w:tabs>
        <w:tab w:val="center" w:pos="4536"/>
        <w:tab w:val="right" w:pos="9072"/>
      </w:tabs>
    </w:pPr>
  </w:style>
  <w:style w:type="character" w:customStyle="1" w:styleId="KopfzeileZchn">
    <w:name w:val="Kopfzeile Zchn"/>
    <w:link w:val="Kopfzeile"/>
    <w:uiPriority w:val="99"/>
    <w:rsid w:val="0015724F"/>
    <w:rPr>
      <w:rFonts w:ascii="Arial" w:eastAsia="Times New Roman" w:hAnsi="Arial" w:cs="Arial"/>
      <w:sz w:val="22"/>
      <w:szCs w:val="22"/>
    </w:rPr>
  </w:style>
  <w:style w:type="paragraph" w:styleId="Fuzeile">
    <w:name w:val="footer"/>
    <w:basedOn w:val="Standard"/>
    <w:link w:val="FuzeileZchn"/>
    <w:uiPriority w:val="99"/>
    <w:unhideWhenUsed/>
    <w:rsid w:val="0015724F"/>
    <w:pPr>
      <w:tabs>
        <w:tab w:val="center" w:pos="4536"/>
        <w:tab w:val="right" w:pos="9072"/>
      </w:tabs>
    </w:pPr>
  </w:style>
  <w:style w:type="character" w:customStyle="1" w:styleId="FuzeileZchn">
    <w:name w:val="Fußzeile Zchn"/>
    <w:link w:val="Fuzeile"/>
    <w:uiPriority w:val="99"/>
    <w:rsid w:val="0015724F"/>
    <w:rPr>
      <w:rFonts w:ascii="Arial" w:eastAsia="Times New Roman" w:hAnsi="Arial" w:cs="Arial"/>
      <w:sz w:val="22"/>
      <w:szCs w:val="22"/>
    </w:rPr>
  </w:style>
  <w:style w:type="paragraph" w:styleId="Listenabsatz">
    <w:name w:val="List Paragraph"/>
    <w:basedOn w:val="Standard"/>
    <w:uiPriority w:val="34"/>
    <w:qFormat/>
    <w:rsid w:val="000A0ECC"/>
    <w:pPr>
      <w:ind w:left="708"/>
    </w:pPr>
  </w:style>
  <w:style w:type="paragraph" w:customStyle="1" w:styleId="Default">
    <w:name w:val="Default"/>
    <w:rsid w:val="002B4801"/>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4B05B9"/>
    <w:rPr>
      <w:sz w:val="16"/>
      <w:szCs w:val="16"/>
    </w:rPr>
  </w:style>
  <w:style w:type="paragraph" w:styleId="Kommentartext">
    <w:name w:val="annotation text"/>
    <w:basedOn w:val="Standard"/>
    <w:link w:val="KommentartextZchn"/>
    <w:uiPriority w:val="99"/>
    <w:semiHidden/>
    <w:unhideWhenUsed/>
    <w:rsid w:val="004B05B9"/>
    <w:rPr>
      <w:sz w:val="20"/>
      <w:szCs w:val="20"/>
    </w:rPr>
  </w:style>
  <w:style w:type="character" w:customStyle="1" w:styleId="KommentartextZchn">
    <w:name w:val="Kommentartext Zchn"/>
    <w:basedOn w:val="Absatz-Standardschriftart"/>
    <w:link w:val="Kommentartext"/>
    <w:uiPriority w:val="99"/>
    <w:semiHidden/>
    <w:rsid w:val="004B05B9"/>
    <w:rPr>
      <w:rFonts w:ascii="Arial" w:eastAsia="Times New Roman" w:hAnsi="Arial" w:cs="Arial"/>
    </w:rPr>
  </w:style>
  <w:style w:type="paragraph" w:styleId="Kommentarthema">
    <w:name w:val="annotation subject"/>
    <w:basedOn w:val="Kommentartext"/>
    <w:next w:val="Kommentartext"/>
    <w:link w:val="KommentarthemaZchn"/>
    <w:uiPriority w:val="99"/>
    <w:semiHidden/>
    <w:unhideWhenUsed/>
    <w:rsid w:val="004B05B9"/>
    <w:rPr>
      <w:b/>
      <w:bCs/>
    </w:rPr>
  </w:style>
  <w:style w:type="character" w:customStyle="1" w:styleId="KommentarthemaZchn">
    <w:name w:val="Kommentarthema Zchn"/>
    <w:basedOn w:val="KommentartextZchn"/>
    <w:link w:val="Kommentarthema"/>
    <w:uiPriority w:val="99"/>
    <w:semiHidden/>
    <w:rsid w:val="004B05B9"/>
    <w:rPr>
      <w:rFonts w:ascii="Arial" w:eastAsia="Times New Roman" w:hAnsi="Arial" w:cs="Arial"/>
      <w:b/>
      <w:bCs/>
    </w:rPr>
  </w:style>
  <w:style w:type="character" w:styleId="Platzhaltertext">
    <w:name w:val="Placeholder Text"/>
    <w:basedOn w:val="Absatz-Standardschriftart"/>
    <w:uiPriority w:val="99"/>
    <w:semiHidden/>
    <w:rsid w:val="006E7A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2971">
      <w:bodyDiv w:val="1"/>
      <w:marLeft w:val="0"/>
      <w:marRight w:val="0"/>
      <w:marTop w:val="0"/>
      <w:marBottom w:val="0"/>
      <w:divBdr>
        <w:top w:val="none" w:sz="0" w:space="0" w:color="auto"/>
        <w:left w:val="none" w:sz="0" w:space="0" w:color="auto"/>
        <w:bottom w:val="none" w:sz="0" w:space="0" w:color="auto"/>
        <w:right w:val="none" w:sz="0" w:space="0" w:color="auto"/>
      </w:divBdr>
      <w:divsChild>
        <w:div w:id="983504211">
          <w:marLeft w:val="0"/>
          <w:marRight w:val="0"/>
          <w:marTop w:val="0"/>
          <w:marBottom w:val="0"/>
          <w:divBdr>
            <w:top w:val="none" w:sz="0" w:space="0" w:color="auto"/>
            <w:left w:val="none" w:sz="0" w:space="0" w:color="auto"/>
            <w:bottom w:val="none" w:sz="0" w:space="0" w:color="auto"/>
            <w:right w:val="none" w:sz="0" w:space="0" w:color="auto"/>
          </w:divBdr>
        </w:div>
        <w:div w:id="818110204">
          <w:marLeft w:val="0"/>
          <w:marRight w:val="0"/>
          <w:marTop w:val="0"/>
          <w:marBottom w:val="0"/>
          <w:divBdr>
            <w:top w:val="none" w:sz="0" w:space="0" w:color="auto"/>
            <w:left w:val="none" w:sz="0" w:space="0" w:color="auto"/>
            <w:bottom w:val="none" w:sz="0" w:space="0" w:color="auto"/>
            <w:right w:val="none" w:sz="0" w:space="0" w:color="auto"/>
          </w:divBdr>
        </w:div>
      </w:divsChild>
    </w:div>
    <w:div w:id="412241044">
      <w:bodyDiv w:val="1"/>
      <w:marLeft w:val="0"/>
      <w:marRight w:val="0"/>
      <w:marTop w:val="0"/>
      <w:marBottom w:val="0"/>
      <w:divBdr>
        <w:top w:val="none" w:sz="0" w:space="0" w:color="auto"/>
        <w:left w:val="none" w:sz="0" w:space="0" w:color="auto"/>
        <w:bottom w:val="none" w:sz="0" w:space="0" w:color="auto"/>
        <w:right w:val="none" w:sz="0" w:space="0" w:color="auto"/>
      </w:divBdr>
    </w:div>
    <w:div w:id="450709389">
      <w:bodyDiv w:val="1"/>
      <w:marLeft w:val="0"/>
      <w:marRight w:val="0"/>
      <w:marTop w:val="0"/>
      <w:marBottom w:val="0"/>
      <w:divBdr>
        <w:top w:val="none" w:sz="0" w:space="0" w:color="auto"/>
        <w:left w:val="none" w:sz="0" w:space="0" w:color="auto"/>
        <w:bottom w:val="none" w:sz="0" w:space="0" w:color="auto"/>
        <w:right w:val="none" w:sz="0" w:space="0" w:color="auto"/>
      </w:divBdr>
    </w:div>
    <w:div w:id="527304988">
      <w:bodyDiv w:val="1"/>
      <w:marLeft w:val="0"/>
      <w:marRight w:val="0"/>
      <w:marTop w:val="0"/>
      <w:marBottom w:val="0"/>
      <w:divBdr>
        <w:top w:val="none" w:sz="0" w:space="0" w:color="auto"/>
        <w:left w:val="none" w:sz="0" w:space="0" w:color="auto"/>
        <w:bottom w:val="none" w:sz="0" w:space="0" w:color="auto"/>
        <w:right w:val="none" w:sz="0" w:space="0" w:color="auto"/>
      </w:divBdr>
    </w:div>
    <w:div w:id="533201448">
      <w:bodyDiv w:val="1"/>
      <w:marLeft w:val="0"/>
      <w:marRight w:val="0"/>
      <w:marTop w:val="0"/>
      <w:marBottom w:val="0"/>
      <w:divBdr>
        <w:top w:val="none" w:sz="0" w:space="0" w:color="auto"/>
        <w:left w:val="none" w:sz="0" w:space="0" w:color="auto"/>
        <w:bottom w:val="none" w:sz="0" w:space="0" w:color="auto"/>
        <w:right w:val="none" w:sz="0" w:space="0" w:color="auto"/>
      </w:divBdr>
    </w:div>
    <w:div w:id="826633902">
      <w:bodyDiv w:val="1"/>
      <w:marLeft w:val="0"/>
      <w:marRight w:val="0"/>
      <w:marTop w:val="0"/>
      <w:marBottom w:val="0"/>
      <w:divBdr>
        <w:top w:val="none" w:sz="0" w:space="0" w:color="auto"/>
        <w:left w:val="none" w:sz="0" w:space="0" w:color="auto"/>
        <w:bottom w:val="none" w:sz="0" w:space="0" w:color="auto"/>
        <w:right w:val="none" w:sz="0" w:space="0" w:color="auto"/>
      </w:divBdr>
    </w:div>
    <w:div w:id="1140345721">
      <w:bodyDiv w:val="1"/>
      <w:marLeft w:val="0"/>
      <w:marRight w:val="0"/>
      <w:marTop w:val="0"/>
      <w:marBottom w:val="0"/>
      <w:divBdr>
        <w:top w:val="none" w:sz="0" w:space="0" w:color="auto"/>
        <w:left w:val="none" w:sz="0" w:space="0" w:color="auto"/>
        <w:bottom w:val="none" w:sz="0" w:space="0" w:color="auto"/>
        <w:right w:val="none" w:sz="0" w:space="0" w:color="auto"/>
      </w:divBdr>
    </w:div>
    <w:div w:id="1318339562">
      <w:bodyDiv w:val="1"/>
      <w:marLeft w:val="0"/>
      <w:marRight w:val="0"/>
      <w:marTop w:val="0"/>
      <w:marBottom w:val="0"/>
      <w:divBdr>
        <w:top w:val="none" w:sz="0" w:space="0" w:color="auto"/>
        <w:left w:val="none" w:sz="0" w:space="0" w:color="auto"/>
        <w:bottom w:val="none" w:sz="0" w:space="0" w:color="auto"/>
        <w:right w:val="none" w:sz="0" w:space="0" w:color="auto"/>
      </w:divBdr>
    </w:div>
    <w:div w:id="1329019618">
      <w:bodyDiv w:val="1"/>
      <w:marLeft w:val="0"/>
      <w:marRight w:val="0"/>
      <w:marTop w:val="0"/>
      <w:marBottom w:val="0"/>
      <w:divBdr>
        <w:top w:val="none" w:sz="0" w:space="0" w:color="auto"/>
        <w:left w:val="none" w:sz="0" w:space="0" w:color="auto"/>
        <w:bottom w:val="none" w:sz="0" w:space="0" w:color="auto"/>
        <w:right w:val="none" w:sz="0" w:space="0" w:color="auto"/>
      </w:divBdr>
      <w:divsChild>
        <w:div w:id="2094858732">
          <w:marLeft w:val="0"/>
          <w:marRight w:val="0"/>
          <w:marTop w:val="0"/>
          <w:marBottom w:val="0"/>
          <w:divBdr>
            <w:top w:val="none" w:sz="0" w:space="0" w:color="auto"/>
            <w:left w:val="none" w:sz="0" w:space="0" w:color="auto"/>
            <w:bottom w:val="none" w:sz="0" w:space="0" w:color="auto"/>
            <w:right w:val="none" w:sz="0" w:space="0" w:color="auto"/>
          </w:divBdr>
        </w:div>
      </w:divsChild>
    </w:div>
    <w:div w:id="1464344946">
      <w:bodyDiv w:val="1"/>
      <w:marLeft w:val="0"/>
      <w:marRight w:val="0"/>
      <w:marTop w:val="0"/>
      <w:marBottom w:val="0"/>
      <w:divBdr>
        <w:top w:val="none" w:sz="0" w:space="0" w:color="auto"/>
        <w:left w:val="none" w:sz="0" w:space="0" w:color="auto"/>
        <w:bottom w:val="none" w:sz="0" w:space="0" w:color="auto"/>
        <w:right w:val="none" w:sz="0" w:space="0" w:color="auto"/>
      </w:divBdr>
    </w:div>
    <w:div w:id="1530297485">
      <w:bodyDiv w:val="1"/>
      <w:marLeft w:val="0"/>
      <w:marRight w:val="0"/>
      <w:marTop w:val="0"/>
      <w:marBottom w:val="0"/>
      <w:divBdr>
        <w:top w:val="none" w:sz="0" w:space="0" w:color="auto"/>
        <w:left w:val="none" w:sz="0" w:space="0" w:color="auto"/>
        <w:bottom w:val="none" w:sz="0" w:space="0" w:color="auto"/>
        <w:right w:val="none" w:sz="0" w:space="0" w:color="auto"/>
      </w:divBdr>
    </w:div>
    <w:div w:id="20166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5492-F9DC-47DF-8D9D-BE1CDCB4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4093</Words>
  <Characters>25793</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Heider</dc:creator>
  <cp:keywords/>
  <cp:lastModifiedBy>Willkomm, Juliane</cp:lastModifiedBy>
  <cp:revision>12</cp:revision>
  <cp:lastPrinted>2024-01-17T14:23:00Z</cp:lastPrinted>
  <dcterms:created xsi:type="dcterms:W3CDTF">2024-01-30T07:56:00Z</dcterms:created>
  <dcterms:modified xsi:type="dcterms:W3CDTF">2024-02-14T12:30:00Z</dcterms:modified>
</cp:coreProperties>
</file>