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6347A" w14:textId="77777777" w:rsidR="007E3C6D" w:rsidRPr="0094474C" w:rsidRDefault="007E3C6D" w:rsidP="007E3C6D">
      <w:pPr>
        <w:jc w:val="center"/>
        <w:rPr>
          <w:b/>
        </w:rPr>
      </w:pPr>
      <w:r>
        <w:rPr>
          <w:b/>
        </w:rPr>
        <w:t>Bekanntmachung</w:t>
      </w:r>
    </w:p>
    <w:p w14:paraId="4B26347B" w14:textId="6F8C4CC3" w:rsidR="007E3C6D" w:rsidRDefault="007E3C6D" w:rsidP="007E3C6D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4B26347C" w14:textId="77777777" w:rsidR="007E3C6D" w:rsidRDefault="007E3C6D" w:rsidP="007E3C6D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156527A3" w14:textId="77777777" w:rsidR="00BF60FF" w:rsidRDefault="007E3C6D" w:rsidP="00BF60FF">
      <w:pPr>
        <w:keepNext/>
        <w:jc w:val="center"/>
        <w:rPr>
          <w:rFonts w:cs="Arial"/>
          <w:b/>
          <w:bCs/>
          <w:color w:val="000000"/>
        </w:rPr>
      </w:pPr>
      <w:r w:rsidRPr="00981D00">
        <w:rPr>
          <w:b/>
        </w:rPr>
        <w:t xml:space="preserve">für das </w:t>
      </w:r>
      <w:r>
        <w:rPr>
          <w:b/>
        </w:rPr>
        <w:t xml:space="preserve">Vorhaben </w:t>
      </w:r>
      <w:proofErr w:type="spellStart"/>
      <w:r w:rsidR="008536E0" w:rsidRPr="008536E0">
        <w:rPr>
          <w:rFonts w:cs="Arial"/>
          <w:b/>
          <w:bCs/>
          <w:color w:val="000000"/>
        </w:rPr>
        <w:t>Pfaffendorfer</w:t>
      </w:r>
      <w:proofErr w:type="spellEnd"/>
      <w:r w:rsidR="008536E0" w:rsidRPr="008536E0">
        <w:rPr>
          <w:rFonts w:cs="Arial"/>
          <w:b/>
          <w:bCs/>
          <w:color w:val="000000"/>
        </w:rPr>
        <w:t xml:space="preserve"> Straße zwischen </w:t>
      </w:r>
      <w:proofErr w:type="spellStart"/>
      <w:r w:rsidR="008536E0" w:rsidRPr="008536E0">
        <w:rPr>
          <w:rFonts w:cs="Arial"/>
          <w:b/>
          <w:bCs/>
          <w:color w:val="000000"/>
        </w:rPr>
        <w:t>Tröndlinring</w:t>
      </w:r>
      <w:proofErr w:type="spellEnd"/>
      <w:r w:rsidR="008536E0" w:rsidRPr="008536E0">
        <w:rPr>
          <w:rFonts w:cs="Arial"/>
          <w:b/>
          <w:bCs/>
          <w:color w:val="000000"/>
        </w:rPr>
        <w:t xml:space="preserve"> und </w:t>
      </w:r>
      <w:r w:rsidR="00BF60FF">
        <w:rPr>
          <w:rFonts w:cs="Arial"/>
          <w:b/>
          <w:bCs/>
          <w:color w:val="000000"/>
        </w:rPr>
        <w:t>Nordplatz</w:t>
      </w:r>
    </w:p>
    <w:p w14:paraId="4B26347D" w14:textId="422B1B61" w:rsidR="007E3C6D" w:rsidRPr="00E56B82" w:rsidRDefault="00BF60FF" w:rsidP="007E3C6D">
      <w:pPr>
        <w:keepNext/>
        <w:spacing w:after="240"/>
        <w:jc w:val="center"/>
        <w:rPr>
          <w:rFonts w:cs="Arial"/>
          <w:b/>
          <w:bCs/>
        </w:rPr>
      </w:pPr>
      <w:r>
        <w:rPr>
          <w:rFonts w:cs="Arial"/>
          <w:b/>
          <w:bCs/>
          <w:color w:val="000000"/>
        </w:rPr>
        <w:t xml:space="preserve">Ausbauabschnitt Süd zwischen </w:t>
      </w:r>
      <w:proofErr w:type="spellStart"/>
      <w:r>
        <w:rPr>
          <w:rFonts w:cs="Arial"/>
          <w:b/>
          <w:bCs/>
          <w:color w:val="000000"/>
        </w:rPr>
        <w:t>Tröndlinring</w:t>
      </w:r>
      <w:proofErr w:type="spellEnd"/>
      <w:r>
        <w:rPr>
          <w:rFonts w:cs="Arial"/>
          <w:b/>
          <w:bCs/>
          <w:color w:val="000000"/>
        </w:rPr>
        <w:t xml:space="preserve"> und </w:t>
      </w:r>
      <w:r w:rsidR="008536E0" w:rsidRPr="008536E0">
        <w:rPr>
          <w:rFonts w:cs="Arial"/>
          <w:b/>
          <w:bCs/>
          <w:color w:val="000000"/>
        </w:rPr>
        <w:t>H</w:t>
      </w:r>
      <w:r w:rsidR="008536E0">
        <w:rPr>
          <w:rFonts w:cs="Arial"/>
          <w:b/>
          <w:bCs/>
          <w:color w:val="000000"/>
        </w:rPr>
        <w:t>altestelle Zoo</w:t>
      </w:r>
    </w:p>
    <w:p w14:paraId="4B26347E" w14:textId="3E38EB13" w:rsidR="007E3C6D" w:rsidRPr="00BA4005" w:rsidRDefault="00BA29A4" w:rsidP="007E3C6D">
      <w:pPr>
        <w:jc w:val="center"/>
        <w:rPr>
          <w:b/>
        </w:rPr>
      </w:pPr>
      <w:proofErr w:type="spellStart"/>
      <w:r>
        <w:rPr>
          <w:b/>
        </w:rPr>
        <w:t>Gz</w:t>
      </w:r>
      <w:proofErr w:type="spellEnd"/>
      <w:r>
        <w:rPr>
          <w:b/>
        </w:rPr>
        <w:t>.: 32-0522/1600</w:t>
      </w:r>
    </w:p>
    <w:p w14:paraId="4B26347F" w14:textId="4026D9E2" w:rsidR="007E3C6D" w:rsidRPr="00E2591A" w:rsidRDefault="00BA29A4" w:rsidP="007E3C6D">
      <w:pPr>
        <w:spacing w:after="240"/>
        <w:jc w:val="center"/>
        <w:rPr>
          <w:b/>
        </w:rPr>
      </w:pPr>
      <w:r>
        <w:rPr>
          <w:b/>
        </w:rPr>
        <w:t>Vom 25. September 2024</w:t>
      </w:r>
    </w:p>
    <w:p w14:paraId="34C24251" w14:textId="3A37D400" w:rsidR="00EF4F39" w:rsidRDefault="00EF4F39" w:rsidP="00EF4F39">
      <w:pPr>
        <w:spacing w:after="240"/>
      </w:pPr>
      <w:r>
        <w:t>Gemäß § 5 Abs. 2 des Gesetzes über die Umweltverträglichkeitsprüfung (UVPG) wird Folgendes bekannt gemacht:</w:t>
      </w:r>
    </w:p>
    <w:p w14:paraId="1B76F911" w14:textId="072452A9" w:rsidR="00EF4F39" w:rsidRDefault="00BA29A4" w:rsidP="00EF4F39">
      <w:pPr>
        <w:spacing w:after="240"/>
      </w:pPr>
      <w:r w:rsidRPr="00BA29A4">
        <w:t>Mit Schreiben vom 14. März 2024 beantragte die Leipziger Verkehrsbetriebe GmbH (LVB) die Planfeststellung gemäß § 28 Abs. 1 Satz 1 PBefG</w:t>
      </w:r>
      <w:r>
        <w:t xml:space="preserve"> für das Vorhaben</w:t>
      </w:r>
      <w:r w:rsidR="00EF4F39">
        <w:t xml:space="preserve"> „</w:t>
      </w:r>
      <w:proofErr w:type="spellStart"/>
      <w:r w:rsidRPr="00BA29A4">
        <w:t>Pfaffendorfer</w:t>
      </w:r>
      <w:proofErr w:type="spellEnd"/>
      <w:r w:rsidRPr="00BA29A4">
        <w:t xml:space="preserve"> Straße zwischen </w:t>
      </w:r>
      <w:proofErr w:type="spellStart"/>
      <w:r w:rsidRPr="00BA29A4">
        <w:t>Tröndlinring</w:t>
      </w:r>
      <w:proofErr w:type="spellEnd"/>
      <w:r w:rsidRPr="00BA29A4">
        <w:t xml:space="preserve"> und </w:t>
      </w:r>
      <w:r w:rsidR="00D74561">
        <w:t xml:space="preserve">Nordplatz, Ausbauabschnitt Süd </w:t>
      </w:r>
      <w:proofErr w:type="spellStart"/>
      <w:r w:rsidR="00D74561">
        <w:t>Tröndlinring</w:t>
      </w:r>
      <w:proofErr w:type="spellEnd"/>
      <w:r w:rsidR="00D74561">
        <w:t xml:space="preserve"> und </w:t>
      </w:r>
      <w:r w:rsidRPr="00BA29A4">
        <w:t>Haltestelle Zoo</w:t>
      </w:r>
      <w:r w:rsidR="00EF4F39">
        <w:t xml:space="preserve">“ und </w:t>
      </w:r>
      <w:r>
        <w:t xml:space="preserve">reichte </w:t>
      </w:r>
      <w:r w:rsidR="00EF4F39">
        <w:t>die erfor</w:t>
      </w:r>
      <w:r>
        <w:t>derlichen Unterlagen ein</w:t>
      </w:r>
      <w:r w:rsidR="00EF4F39">
        <w:t>.</w:t>
      </w:r>
    </w:p>
    <w:p w14:paraId="224E0FB0" w14:textId="40E218C9" w:rsidR="00EF4F39" w:rsidRDefault="00BA29A4" w:rsidP="00EF4F39">
      <w:pPr>
        <w:suppressAutoHyphens/>
      </w:pPr>
      <w:r w:rsidRPr="00BA29A4">
        <w:rPr>
          <w:rFonts w:cs="Arial"/>
          <w:color w:val="000000"/>
          <w:szCs w:val="19"/>
          <w:shd w:val="clear" w:color="auto" w:fill="FFFFFF"/>
        </w:rPr>
        <w:t xml:space="preserve">Betriebsanlagen für Straßenbahnen dürfen nur gebaut oder geändert werden, wenn der Plan vorher festgestellt ist, § 28 Abs. 1 Satz 1 </w:t>
      </w:r>
      <w:r>
        <w:rPr>
          <w:rFonts w:cs="Arial"/>
          <w:color w:val="000000"/>
          <w:szCs w:val="19"/>
          <w:shd w:val="clear" w:color="auto" w:fill="FFFFFF"/>
        </w:rPr>
        <w:t>Personenbeförderungsgesetz (</w:t>
      </w:r>
      <w:r w:rsidRPr="00BA29A4">
        <w:rPr>
          <w:rFonts w:cs="Arial"/>
          <w:color w:val="000000"/>
          <w:szCs w:val="19"/>
          <w:shd w:val="clear" w:color="auto" w:fill="FFFFFF"/>
        </w:rPr>
        <w:t>PBefG</w:t>
      </w:r>
      <w:r>
        <w:rPr>
          <w:rFonts w:cs="Arial"/>
          <w:color w:val="000000"/>
          <w:szCs w:val="19"/>
          <w:shd w:val="clear" w:color="auto" w:fill="FFFFFF"/>
        </w:rPr>
        <w:t>)</w:t>
      </w:r>
      <w:r w:rsidR="00EF4F39">
        <w:rPr>
          <w:rFonts w:cs="Arial"/>
        </w:rPr>
        <w:t xml:space="preserve">. Die vorliegende Planung sieht </w:t>
      </w:r>
      <w:r>
        <w:rPr>
          <w:rFonts w:cs="Arial"/>
        </w:rPr>
        <w:t>die</w:t>
      </w:r>
      <w:r w:rsidRPr="00BA29A4">
        <w:rPr>
          <w:rFonts w:cs="Arial"/>
        </w:rPr>
        <w:t xml:space="preserve"> Aufweitung der Gleisanlagen, um dem Planungsziel, dem Einsatz von 2,40 m breiten Wagenzügen zu genügen</w:t>
      </w:r>
      <w:r>
        <w:rPr>
          <w:rFonts w:cs="Arial"/>
        </w:rPr>
        <w:t xml:space="preserve">, in der </w:t>
      </w:r>
      <w:proofErr w:type="spellStart"/>
      <w:r>
        <w:rPr>
          <w:rFonts w:cs="Arial"/>
        </w:rPr>
        <w:t>Pfaffendorfer</w:t>
      </w:r>
      <w:proofErr w:type="spellEnd"/>
      <w:r>
        <w:rPr>
          <w:rFonts w:cs="Arial"/>
        </w:rPr>
        <w:t xml:space="preserve"> Straße zwischen</w:t>
      </w:r>
      <w:r w:rsidRPr="00BA29A4">
        <w:rPr>
          <w:rFonts w:cs="Arial"/>
        </w:rPr>
        <w:t xml:space="preserve"> </w:t>
      </w:r>
      <w:proofErr w:type="spellStart"/>
      <w:r w:rsidRPr="000E311F">
        <w:rPr>
          <w:rFonts w:cs="Arial"/>
        </w:rPr>
        <w:t>Tröndlinring</w:t>
      </w:r>
      <w:proofErr w:type="spellEnd"/>
      <w:r w:rsidRPr="000E311F">
        <w:rPr>
          <w:rFonts w:cs="Arial"/>
        </w:rPr>
        <w:t xml:space="preserve"> und Haltestelle Zoo</w:t>
      </w:r>
      <w:r>
        <w:rPr>
          <w:rFonts w:cs="Arial"/>
        </w:rPr>
        <w:t>, vor</w:t>
      </w:r>
      <w:r w:rsidRPr="00BA29A4">
        <w:rPr>
          <w:rFonts w:cs="Arial"/>
        </w:rPr>
        <w:t>. Außerdem ist der barrierefreie Ausbau der Haltestelle „</w:t>
      </w:r>
      <w:proofErr w:type="spellStart"/>
      <w:r w:rsidRPr="00BA29A4">
        <w:rPr>
          <w:rFonts w:cs="Arial"/>
        </w:rPr>
        <w:t>Lortzingstraße</w:t>
      </w:r>
      <w:proofErr w:type="spellEnd"/>
      <w:r w:rsidRPr="00BA29A4">
        <w:rPr>
          <w:rFonts w:cs="Arial"/>
        </w:rPr>
        <w:t>“ geplant.</w:t>
      </w:r>
      <w:r w:rsidRPr="00BA29A4">
        <w:rPr>
          <w:rFonts w:eastAsia="Times New Roman" w:cs="Arial"/>
          <w:szCs w:val="24"/>
          <w:lang w:eastAsia="de-DE"/>
        </w:rPr>
        <w:t xml:space="preserve"> </w:t>
      </w:r>
      <w:r>
        <w:rPr>
          <w:rFonts w:cs="Arial"/>
        </w:rPr>
        <w:t>Zu</w:t>
      </w:r>
      <w:r w:rsidRPr="00BA29A4">
        <w:rPr>
          <w:rFonts w:cs="Arial"/>
        </w:rPr>
        <w:t>dem sind Maßnahmen an der Steuerung und Signaltechnik und der Haltestellenausrüstung der LVB vorgesehen</w:t>
      </w:r>
    </w:p>
    <w:p w14:paraId="6B63AC3E" w14:textId="69D3B81D" w:rsidR="002B0230" w:rsidRDefault="002B0230" w:rsidP="00EF4F39">
      <w:pPr>
        <w:suppressAutoHyphens/>
      </w:pPr>
    </w:p>
    <w:p w14:paraId="5A3A9CD6" w14:textId="63BE40EF" w:rsidR="00EF4F39" w:rsidRDefault="002B0230" w:rsidP="002B0230">
      <w:pPr>
        <w:spacing w:after="100" w:afterAutospacing="1"/>
      </w:pPr>
      <w:r>
        <w:t xml:space="preserve">Die Landesdirektion Sachsen veranlasste daraufhin die Prüfung, ob für das Vorhaben eine Pflicht zur Durchführung einer Umweltverträglichkeitsprüfung (UVP-Pflicht) besteht, von Amts wegen, </w:t>
      </w:r>
      <w:r w:rsidR="00037431">
        <w:t>§ 28</w:t>
      </w:r>
      <w:r w:rsidR="00BA29A4">
        <w:t xml:space="preserve"> Abs. 1 Satz 2 PBefG</w:t>
      </w:r>
      <w:r w:rsidR="0050434A">
        <w:t xml:space="preserve"> i.</w:t>
      </w:r>
      <w:r w:rsidR="00BF60FF">
        <w:t xml:space="preserve"> </w:t>
      </w:r>
      <w:r w:rsidR="0050434A">
        <w:t>V.</w:t>
      </w:r>
      <w:r w:rsidR="00BF60FF">
        <w:t xml:space="preserve"> </w:t>
      </w:r>
      <w:r w:rsidR="0050434A">
        <w:t xml:space="preserve">m. </w:t>
      </w:r>
      <w:r>
        <w:t>§ 5 Abs. 1 Nr. 3 UVPG.</w:t>
      </w:r>
    </w:p>
    <w:p w14:paraId="611FD2A4" w14:textId="77777777" w:rsidR="00EF4F39" w:rsidRDefault="00EF4F39" w:rsidP="00EF4F39">
      <w:pPr>
        <w:spacing w:after="240"/>
      </w:pPr>
      <w:r>
        <w:t>Die Planfeststellungsbehörde hat daher gemäß § 9 Abs. 4 UVPG i. V. m. § 7 UVPG die allgemeine Vorprüfung als überschlägige Prüfung unter Berücksichtigung der in Anlage 3 des UVPG aufgeführten Kriterien durchgeführt und dokumentiert.</w:t>
      </w:r>
    </w:p>
    <w:p w14:paraId="1CE0B4CC" w14:textId="79D57B79" w:rsidR="00EF4F39" w:rsidRPr="009A0B9E" w:rsidRDefault="00EF4F39" w:rsidP="00EF4F39">
      <w:pPr>
        <w:spacing w:before="240"/>
        <w:rPr>
          <w:i/>
        </w:rPr>
      </w:pPr>
      <w:r w:rsidRPr="00E721DA">
        <w:t>Im Ra</w:t>
      </w:r>
      <w:r>
        <w:t>hmen diese</w:t>
      </w:r>
      <w:r w:rsidR="00BA29A4">
        <w:t>r Vorprüfung wurde am 24. September 2024</w:t>
      </w:r>
      <w:r w:rsidRPr="00D543CB">
        <w:t xml:space="preserve"> </w:t>
      </w:r>
      <w:r>
        <w:t>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 xml:space="preserve">keine erheblichen nachteiligen Umweltauswirkungen </w:t>
      </w:r>
      <w:r>
        <w:t xml:space="preserve">auf die Umweltschutzgüter, die nach dem </w:t>
      </w:r>
      <w:r w:rsidRPr="007875B1">
        <w:t xml:space="preserve">Gesetz über die Umweltverträglichkeitsprüfung </w:t>
      </w:r>
      <w:r>
        <w:t xml:space="preserve">bei der Zulassungsentscheidung zu </w:t>
      </w:r>
      <w:r w:rsidRPr="00D543CB">
        <w:t>berücksichtigen wären</w:t>
      </w:r>
      <w:r>
        <w:t>, § 25 Abs. 2 UVPG</w:t>
      </w:r>
      <w:r w:rsidRPr="00D543CB">
        <w:t>. Für diese Einschätzung sind folgende</w:t>
      </w:r>
      <w:r>
        <w:t xml:space="preserve"> wesentliche Gründe</w:t>
      </w:r>
      <w:r w:rsidRPr="00D543CB">
        <w:t xml:space="preserve"> maßgebend: </w:t>
      </w:r>
    </w:p>
    <w:p w14:paraId="7384BA11" w14:textId="77777777" w:rsidR="00EF4F39" w:rsidRPr="004471C5" w:rsidRDefault="00EF4F39" w:rsidP="00264E4B">
      <w:pPr>
        <w:tabs>
          <w:tab w:val="left" w:pos="284"/>
        </w:tabs>
        <w:spacing w:before="240"/>
        <w:ind w:left="567" w:hanging="283"/>
      </w:pPr>
      <w:r w:rsidRPr="004471C5">
        <w:t>-</w:t>
      </w:r>
      <w:r w:rsidRPr="004471C5">
        <w:tab/>
        <w:t>das nicht vorhandene Zusammenwirken mit anderen bestehenden oder zugelassenen Vorhaben und Tätigkeiten,</w:t>
      </w:r>
    </w:p>
    <w:p w14:paraId="45E314B6" w14:textId="77777777" w:rsidR="00EF4F39" w:rsidRPr="004471C5" w:rsidRDefault="00EF4F39" w:rsidP="00264E4B">
      <w:pPr>
        <w:tabs>
          <w:tab w:val="left" w:pos="284"/>
        </w:tabs>
        <w:spacing w:before="240"/>
        <w:ind w:left="567" w:hanging="283"/>
      </w:pPr>
      <w:r w:rsidRPr="004471C5">
        <w:t>-</w:t>
      </w:r>
      <w:r w:rsidRPr="004471C5">
        <w:tab/>
        <w:t>die unerhebliche Nutzung natürlicher Ressourcen, insbesondere Fläche, Boden, Wasser, Tiere, Pflanzen und biologische Vielfalt,</w:t>
      </w:r>
    </w:p>
    <w:p w14:paraId="607E67E1" w14:textId="29655A1A" w:rsidR="00EF4F39" w:rsidRPr="004471C5" w:rsidRDefault="00EF4F39" w:rsidP="00264E4B">
      <w:pPr>
        <w:tabs>
          <w:tab w:val="left" w:pos="284"/>
        </w:tabs>
        <w:spacing w:before="240"/>
        <w:ind w:left="567" w:hanging="283"/>
      </w:pPr>
      <w:r w:rsidRPr="004471C5">
        <w:t>-</w:t>
      </w:r>
      <w:r w:rsidRPr="004471C5">
        <w:tab/>
        <w:t>die unerhebliche Erzeugung von Abfällen,</w:t>
      </w:r>
    </w:p>
    <w:p w14:paraId="6C64051E" w14:textId="77777777" w:rsidR="00EF4F39" w:rsidRPr="004471C5" w:rsidRDefault="00EF4F39" w:rsidP="00264E4B">
      <w:pPr>
        <w:tabs>
          <w:tab w:val="left" w:pos="284"/>
        </w:tabs>
        <w:spacing w:before="240"/>
        <w:ind w:left="567" w:hanging="283"/>
      </w:pPr>
      <w:r w:rsidRPr="004471C5">
        <w:t>-</w:t>
      </w:r>
      <w:r w:rsidRPr="004471C5">
        <w:tab/>
        <w:t>die Art und das unerhebliche Ausmaß der Auswirkungen, insbesondere hinsichtlich des betroffenen geographischen Gebietes,</w:t>
      </w:r>
    </w:p>
    <w:p w14:paraId="54253CB2" w14:textId="486344EB" w:rsidR="00EF4F39" w:rsidRDefault="00EF4F39" w:rsidP="00264E4B">
      <w:pPr>
        <w:tabs>
          <w:tab w:val="left" w:pos="284"/>
        </w:tabs>
        <w:spacing w:before="240"/>
        <w:ind w:left="567" w:hanging="283"/>
      </w:pPr>
      <w:r w:rsidRPr="004471C5">
        <w:t>-</w:t>
      </w:r>
      <w:r w:rsidRPr="004471C5">
        <w:tab/>
        <w:t>der voraussichtliche Zeitpunkt des Eintretens sowie die Umkehrbarkeit und die geringe Dauer und Häufigkeit der Auswirkungen,</w:t>
      </w:r>
    </w:p>
    <w:p w14:paraId="70C22BF3" w14:textId="5D133AAE" w:rsidR="003028D0" w:rsidRDefault="003028D0" w:rsidP="00264E4B">
      <w:pPr>
        <w:tabs>
          <w:tab w:val="left" w:pos="284"/>
        </w:tabs>
        <w:spacing w:before="240"/>
        <w:ind w:left="567" w:hanging="283"/>
      </w:pPr>
      <w:r>
        <w:t xml:space="preserve">- </w:t>
      </w:r>
      <w:r>
        <w:tab/>
        <w:t>die unerheblichen</w:t>
      </w:r>
      <w:r w:rsidRPr="003028D0">
        <w:t xml:space="preserve"> Risiken für die menschliche Gesundheit, zum Beispiel durch Verunreinigung von Wasser oder Luft,</w:t>
      </w:r>
    </w:p>
    <w:p w14:paraId="45BF0E69" w14:textId="52B126AE" w:rsidR="003028D0" w:rsidRDefault="003028D0" w:rsidP="00264E4B">
      <w:pPr>
        <w:tabs>
          <w:tab w:val="left" w:pos="284"/>
        </w:tabs>
        <w:spacing w:before="240"/>
        <w:ind w:left="567" w:hanging="283"/>
      </w:pPr>
      <w:r>
        <w:lastRenderedPageBreak/>
        <w:t xml:space="preserve">- </w:t>
      </w:r>
      <w:r>
        <w:tab/>
      </w:r>
      <w:r w:rsidRPr="003028D0">
        <w:t xml:space="preserve">die bestehende Nutzung des Gebietes, insbesondere als Fläche für Siedlung </w:t>
      </w:r>
      <w:r>
        <w:t xml:space="preserve">und öffentliche Nutzungen sowie Verkehr </w:t>
      </w:r>
      <w:r w:rsidRPr="003028D0">
        <w:t>(Nutzungskriterien),</w:t>
      </w:r>
    </w:p>
    <w:p w14:paraId="117A890A" w14:textId="7093ADF2" w:rsidR="00037431" w:rsidRPr="00037431" w:rsidRDefault="00037431" w:rsidP="00264E4B">
      <w:pPr>
        <w:tabs>
          <w:tab w:val="left" w:pos="284"/>
        </w:tabs>
        <w:spacing w:before="240"/>
        <w:ind w:left="567" w:hanging="283"/>
      </w:pPr>
      <w:r>
        <w:t xml:space="preserve">- </w:t>
      </w:r>
      <w:r>
        <w:tab/>
        <w:t xml:space="preserve">die </w:t>
      </w:r>
      <w:r w:rsidRPr="00037431">
        <w:t>nicht vo</w:t>
      </w:r>
      <w:r>
        <w:t>rhandene</w:t>
      </w:r>
      <w:r w:rsidRPr="00037431">
        <w:t xml:space="preserve"> Verfügbarkeit, Qualität und Regenerationsfähigkeit der natürlichen Ressourcen, insbesondere Fläche, Boden, Landschaft, Wasser, Tiere, Pflanzen, biologische Vielfalt, des Gebiets und seines U</w:t>
      </w:r>
      <w:r>
        <w:t>ntergrunds (Qualitätskriterien),</w:t>
      </w:r>
    </w:p>
    <w:p w14:paraId="6022BABA" w14:textId="6CD93FF0" w:rsidR="00037431" w:rsidRPr="00037431" w:rsidRDefault="00037431" w:rsidP="00264E4B">
      <w:pPr>
        <w:tabs>
          <w:tab w:val="left" w:pos="284"/>
        </w:tabs>
        <w:spacing w:before="120" w:after="120"/>
        <w:ind w:left="568" w:hanging="284"/>
      </w:pPr>
      <w:r w:rsidRPr="00037431">
        <w:t>-</w:t>
      </w:r>
      <w:r w:rsidRPr="00037431">
        <w:tab/>
        <w:t>die Belastbarkeit der Schutzgüter unter besonderer Berücksichtigung folgender Gebiete und von Art und Umfang des ihnen jeweils zugewies</w:t>
      </w:r>
      <w:r>
        <w:t>enen Schutzes (Schutzkriterien):</w:t>
      </w:r>
    </w:p>
    <w:p w14:paraId="538E86AE" w14:textId="77777777" w:rsidR="00037431" w:rsidRPr="00037431" w:rsidRDefault="00037431" w:rsidP="00264E4B">
      <w:pPr>
        <w:numPr>
          <w:ilvl w:val="0"/>
          <w:numId w:val="11"/>
        </w:numPr>
        <w:tabs>
          <w:tab w:val="left" w:pos="284"/>
        </w:tabs>
        <w:spacing w:after="120"/>
        <w:ind w:left="567" w:hanging="283"/>
      </w:pPr>
      <w:r w:rsidRPr="00037431">
        <w:t>Natura 2000-Gebiete,</w:t>
      </w:r>
    </w:p>
    <w:p w14:paraId="1DD1A491" w14:textId="77777777" w:rsidR="00037431" w:rsidRPr="00037431" w:rsidRDefault="00037431" w:rsidP="00264E4B">
      <w:pPr>
        <w:numPr>
          <w:ilvl w:val="0"/>
          <w:numId w:val="11"/>
        </w:numPr>
        <w:tabs>
          <w:tab w:val="left" w:pos="284"/>
        </w:tabs>
        <w:spacing w:after="120"/>
        <w:ind w:left="567" w:hanging="283"/>
      </w:pPr>
      <w:r w:rsidRPr="00037431">
        <w:t>Naturschutzgebiete,</w:t>
      </w:r>
    </w:p>
    <w:p w14:paraId="0EA322F9" w14:textId="77777777" w:rsidR="00037431" w:rsidRPr="00037431" w:rsidRDefault="00037431" w:rsidP="00264E4B">
      <w:pPr>
        <w:numPr>
          <w:ilvl w:val="0"/>
          <w:numId w:val="11"/>
        </w:numPr>
        <w:tabs>
          <w:tab w:val="left" w:pos="284"/>
        </w:tabs>
        <w:spacing w:after="120"/>
        <w:ind w:left="567" w:hanging="283"/>
      </w:pPr>
      <w:r w:rsidRPr="00037431">
        <w:t>Nationalparke und Nationale Naturmonumente,</w:t>
      </w:r>
      <w:bookmarkStart w:id="0" w:name="_GoBack"/>
      <w:bookmarkEnd w:id="0"/>
    </w:p>
    <w:p w14:paraId="23816B32" w14:textId="77777777" w:rsidR="00037431" w:rsidRPr="00037431" w:rsidRDefault="00037431" w:rsidP="00264E4B">
      <w:pPr>
        <w:numPr>
          <w:ilvl w:val="0"/>
          <w:numId w:val="11"/>
        </w:numPr>
        <w:tabs>
          <w:tab w:val="left" w:pos="284"/>
        </w:tabs>
        <w:spacing w:after="120"/>
        <w:ind w:left="567" w:hanging="283"/>
      </w:pPr>
      <w:r w:rsidRPr="00037431">
        <w:t>Biosphärenreservate und Landschaftsschutzgebiete,</w:t>
      </w:r>
    </w:p>
    <w:p w14:paraId="36FA349B" w14:textId="77777777" w:rsidR="00037431" w:rsidRPr="00037431" w:rsidRDefault="00037431" w:rsidP="00264E4B">
      <w:pPr>
        <w:numPr>
          <w:ilvl w:val="0"/>
          <w:numId w:val="11"/>
        </w:numPr>
        <w:tabs>
          <w:tab w:val="left" w:pos="284"/>
        </w:tabs>
        <w:spacing w:after="120"/>
        <w:ind w:left="567" w:hanging="283"/>
      </w:pPr>
      <w:r w:rsidRPr="00037431">
        <w:t>Naturdenkmäler,</w:t>
      </w:r>
    </w:p>
    <w:p w14:paraId="37C0F72D" w14:textId="77777777" w:rsidR="00037431" w:rsidRPr="00037431" w:rsidRDefault="00037431" w:rsidP="00264E4B">
      <w:pPr>
        <w:numPr>
          <w:ilvl w:val="0"/>
          <w:numId w:val="11"/>
        </w:numPr>
        <w:tabs>
          <w:tab w:val="left" w:pos="284"/>
        </w:tabs>
        <w:spacing w:after="120"/>
        <w:ind w:left="567" w:hanging="283"/>
      </w:pPr>
      <w:r w:rsidRPr="00037431">
        <w:t>geschützte Landschaftsbestandteile, einschließlich Alleen,</w:t>
      </w:r>
    </w:p>
    <w:p w14:paraId="00D73D29" w14:textId="77777777" w:rsidR="00037431" w:rsidRPr="00037431" w:rsidRDefault="00037431" w:rsidP="00264E4B">
      <w:pPr>
        <w:numPr>
          <w:ilvl w:val="0"/>
          <w:numId w:val="11"/>
        </w:numPr>
        <w:tabs>
          <w:tab w:val="left" w:pos="284"/>
        </w:tabs>
        <w:spacing w:after="120"/>
        <w:ind w:left="567" w:hanging="283"/>
      </w:pPr>
      <w:r w:rsidRPr="00037431">
        <w:t>gesetzlich geschützte Biotope,</w:t>
      </w:r>
    </w:p>
    <w:p w14:paraId="5C521021" w14:textId="77777777" w:rsidR="00037431" w:rsidRPr="00037431" w:rsidRDefault="00037431" w:rsidP="00264E4B">
      <w:pPr>
        <w:numPr>
          <w:ilvl w:val="0"/>
          <w:numId w:val="11"/>
        </w:numPr>
        <w:tabs>
          <w:tab w:val="left" w:pos="284"/>
        </w:tabs>
        <w:spacing w:after="120"/>
        <w:ind w:left="567" w:hanging="283"/>
      </w:pPr>
      <w:r w:rsidRPr="00037431">
        <w:t>Wasserschutzgebiete, Heilquellenschutzgebiete, Risikogebiete sowie Überschwemmungsgebiete,</w:t>
      </w:r>
    </w:p>
    <w:p w14:paraId="5341B1B5" w14:textId="77777777" w:rsidR="00037431" w:rsidRPr="00037431" w:rsidRDefault="00037431" w:rsidP="00264E4B">
      <w:pPr>
        <w:numPr>
          <w:ilvl w:val="0"/>
          <w:numId w:val="11"/>
        </w:numPr>
        <w:tabs>
          <w:tab w:val="left" w:pos="284"/>
        </w:tabs>
        <w:spacing w:after="120"/>
        <w:ind w:left="567" w:hanging="283"/>
      </w:pPr>
      <w:r w:rsidRPr="00037431">
        <w:t>Gebiete, in denen die in Vorschriften der Europäischen Union festgelegten Umweltqualitätsnormen bereits überschritten sind,</w:t>
      </w:r>
    </w:p>
    <w:p w14:paraId="1A4B4B64" w14:textId="77777777" w:rsidR="00037431" w:rsidRPr="00037431" w:rsidRDefault="00037431" w:rsidP="00264E4B">
      <w:pPr>
        <w:numPr>
          <w:ilvl w:val="0"/>
          <w:numId w:val="11"/>
        </w:numPr>
        <w:tabs>
          <w:tab w:val="left" w:pos="284"/>
        </w:tabs>
        <w:spacing w:after="120"/>
        <w:ind w:left="567" w:hanging="283"/>
      </w:pPr>
      <w:r w:rsidRPr="00037431">
        <w:t>Gebiete mit hoher Bevölkerungsdichte, insbesondere Zentrale Orte,</w:t>
      </w:r>
    </w:p>
    <w:p w14:paraId="4B28698C" w14:textId="6913DE61" w:rsidR="00037431" w:rsidRPr="00037431" w:rsidRDefault="00037431" w:rsidP="00264E4B">
      <w:pPr>
        <w:numPr>
          <w:ilvl w:val="0"/>
          <w:numId w:val="11"/>
        </w:numPr>
        <w:tabs>
          <w:tab w:val="left" w:pos="284"/>
        </w:tabs>
        <w:spacing w:after="120"/>
        <w:ind w:left="567" w:hanging="283"/>
      </w:pPr>
      <w:r w:rsidRPr="00037431">
        <w:t>in amtlichen Listen oder Karten verzeichnete Denkmäler, Denkmalensembles, Bodendenkmäler oder Gebiete, die von der durch die Länder bestimmten Denkmalschutz</w:t>
      </w:r>
      <w:r w:rsidR="00264E4B">
        <w:t>-</w:t>
      </w:r>
      <w:r w:rsidR="00264E4B">
        <w:br/>
      </w:r>
      <w:proofErr w:type="spellStart"/>
      <w:r w:rsidRPr="00037431">
        <w:t>behörde</w:t>
      </w:r>
      <w:proofErr w:type="spellEnd"/>
      <w:r w:rsidRPr="00037431">
        <w:t xml:space="preserve"> als archäologisch bedeutende Landschaften eingestuft worden sind,</w:t>
      </w:r>
    </w:p>
    <w:p w14:paraId="6865F068" w14:textId="7992C62A" w:rsidR="00037431" w:rsidRPr="00037431" w:rsidRDefault="00037431" w:rsidP="00264E4B">
      <w:pPr>
        <w:tabs>
          <w:tab w:val="left" w:pos="284"/>
        </w:tabs>
        <w:spacing w:before="240"/>
        <w:ind w:left="567" w:hanging="283"/>
      </w:pPr>
      <w:r w:rsidRPr="00037431">
        <w:t>-</w:t>
      </w:r>
      <w:r w:rsidRPr="00037431">
        <w:tab/>
        <w:t>die</w:t>
      </w:r>
      <w:r>
        <w:t xml:space="preserve"> unerhebliche</w:t>
      </w:r>
      <w:r w:rsidRPr="00037431">
        <w:t xml:space="preserve"> Schwere und Komplexität der Auswirkungen,</w:t>
      </w:r>
    </w:p>
    <w:p w14:paraId="29C4A9BD" w14:textId="77777777" w:rsidR="00037431" w:rsidRPr="00037431" w:rsidRDefault="00037431" w:rsidP="00264E4B">
      <w:pPr>
        <w:tabs>
          <w:tab w:val="left" w:pos="284"/>
        </w:tabs>
        <w:spacing w:before="240"/>
        <w:ind w:left="567" w:hanging="283"/>
      </w:pPr>
      <w:r w:rsidRPr="00037431">
        <w:t>-</w:t>
      </w:r>
      <w:r w:rsidRPr="00037431">
        <w:tab/>
        <w:t>die Wahrscheinlichkeit von Auswirkungen,</w:t>
      </w:r>
    </w:p>
    <w:p w14:paraId="78B076F9" w14:textId="77777777" w:rsidR="00037431" w:rsidRPr="00037431" w:rsidRDefault="00037431" w:rsidP="00264E4B">
      <w:pPr>
        <w:tabs>
          <w:tab w:val="left" w:pos="284"/>
        </w:tabs>
        <w:spacing w:before="240"/>
        <w:ind w:left="567" w:hanging="283"/>
      </w:pPr>
      <w:r w:rsidRPr="00037431">
        <w:t>-</w:t>
      </w:r>
      <w:r w:rsidRPr="00037431">
        <w:tab/>
        <w:t>der voraussichtliche Zeitpunkt des Eintretens sowie die Umkehrbarkeit und die geringe Dauer und Häufigkeit der Auswirkungen,</w:t>
      </w:r>
    </w:p>
    <w:p w14:paraId="7125C516" w14:textId="31394169" w:rsidR="00037431" w:rsidRPr="004471C5" w:rsidRDefault="00037431" w:rsidP="00264E4B">
      <w:pPr>
        <w:tabs>
          <w:tab w:val="left" w:pos="284"/>
        </w:tabs>
        <w:spacing w:before="240"/>
        <w:ind w:left="567" w:hanging="283"/>
      </w:pPr>
      <w:r w:rsidRPr="00037431">
        <w:t>-</w:t>
      </w:r>
      <w:r w:rsidRPr="00037431">
        <w:tab/>
        <w:t>das</w:t>
      </w:r>
      <w:r w:rsidR="002F0AA4">
        <w:t xml:space="preserve"> </w:t>
      </w:r>
      <w:r w:rsidRPr="00037431">
        <w:t>n</w:t>
      </w:r>
      <w:r w:rsidR="002F0AA4">
        <w:t>icht vorhandene</w:t>
      </w:r>
      <w:r w:rsidRPr="00037431">
        <w:t xml:space="preserve"> Zusammenwirken der Auswirkungen mit den Auswirkungen anderer bestehender oder zugelassener Vorhaben,</w:t>
      </w:r>
    </w:p>
    <w:p w14:paraId="3396489D" w14:textId="77777777" w:rsidR="00EF4F39" w:rsidRPr="004471C5" w:rsidRDefault="00EF4F39" w:rsidP="00264E4B">
      <w:pPr>
        <w:tabs>
          <w:tab w:val="left" w:pos="284"/>
        </w:tabs>
        <w:spacing w:before="240" w:after="240"/>
        <w:ind w:left="567" w:hanging="283"/>
      </w:pPr>
      <w:r w:rsidRPr="004471C5">
        <w:t>-</w:t>
      </w:r>
      <w:r w:rsidRPr="004471C5">
        <w:tab/>
        <w:t>die Möglichkeit, die Auswirkungen wirksam zu vermindern.</w:t>
      </w:r>
    </w:p>
    <w:p w14:paraId="276C819C" w14:textId="6371D41A" w:rsidR="00EF4F39" w:rsidRDefault="00EF4F39" w:rsidP="00EF4F39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 xml:space="preserve">Die Feststellung über das Unterbleiben der Umweltverträglichkeitsprüfung ist gemäß § 5 Absatz 3 Satz 1 </w:t>
      </w:r>
      <w:r w:rsidR="00BF60FF">
        <w:rPr>
          <w:rFonts w:ascii="Arial" w:hAnsi="Arial" w:cs="Arial"/>
          <w:sz w:val="22"/>
          <w:szCs w:val="22"/>
        </w:rPr>
        <w:t>UVPG</w:t>
      </w:r>
      <w:r w:rsidRPr="009E10EE">
        <w:rPr>
          <w:rFonts w:ascii="Arial" w:hAnsi="Arial" w:cs="Arial"/>
          <w:sz w:val="22"/>
          <w:szCs w:val="22"/>
        </w:rPr>
        <w:t xml:space="preserve"> nicht selbstständig anfechtbar.</w:t>
      </w:r>
    </w:p>
    <w:p w14:paraId="08B4F798" w14:textId="3CA1970F" w:rsidR="00EF4F39" w:rsidRPr="00773DA8" w:rsidRDefault="00EF4F39" w:rsidP="00EF4F39">
      <w:pPr>
        <w:spacing w:before="240"/>
      </w:pPr>
      <w:r w:rsidRPr="00981D00">
        <w:t>Die entscheidungsrelevanten Unterlagen sin</w:t>
      </w:r>
      <w:r>
        <w:t xml:space="preserve">d der Öffentlichkeit gemäß den Bestimmungen des Sächsischen Umweltinformationsgesetzes </w:t>
      </w:r>
      <w:r w:rsidRPr="00981D00">
        <w:t xml:space="preserve">in der Landesdirektion </w:t>
      </w:r>
      <w:r>
        <w:t>Sachsen</w:t>
      </w:r>
      <w:r w:rsidRPr="00981D00">
        <w:t xml:space="preserve">, </w:t>
      </w:r>
      <w:r>
        <w:t xml:space="preserve">Dienststelle Leipzig zugänglich. </w:t>
      </w:r>
    </w:p>
    <w:p w14:paraId="218B455B" w14:textId="0C7A5E97" w:rsidR="00EF4F39" w:rsidRPr="00E2591A" w:rsidRDefault="00EF4F39" w:rsidP="00EF4F39">
      <w:pPr>
        <w:spacing w:before="240" w:after="240"/>
        <w:rPr>
          <w:rFonts w:cs="Arial"/>
        </w:rPr>
      </w:pPr>
      <w:r>
        <w:rPr>
          <w:rFonts w:cs="Arial"/>
          <w:color w:val="000000"/>
        </w:rPr>
        <w:t>Die Bekanntgabe</w:t>
      </w:r>
      <w:r w:rsidRPr="00433A7B">
        <w:rPr>
          <w:rFonts w:cs="Arial"/>
          <w:color w:val="000000"/>
        </w:rPr>
        <w:t xml:space="preserve"> ist </w:t>
      </w:r>
      <w:r w:rsidR="00BF60FF">
        <w:rPr>
          <w:rFonts w:cs="Arial"/>
          <w:color w:val="000000"/>
        </w:rPr>
        <w:t xml:space="preserve">auch </w:t>
      </w:r>
      <w:r w:rsidRPr="00433A7B">
        <w:rPr>
          <w:rFonts w:cs="Arial"/>
          <w:color w:val="000000"/>
        </w:rPr>
        <w:t xml:space="preserve">auf der Internetseite der Landesdirektion Sachsen unter </w:t>
      </w:r>
      <w:r w:rsidRPr="00203D50">
        <w:rPr>
          <w:rFonts w:cs="Arial"/>
          <w:color w:val="000000"/>
          <w:u w:val="single"/>
        </w:rPr>
        <w:t>http</w:t>
      </w:r>
      <w:r w:rsidR="00916799">
        <w:rPr>
          <w:rFonts w:cs="Arial"/>
          <w:color w:val="000000"/>
          <w:u w:val="single"/>
        </w:rPr>
        <w:t>s</w:t>
      </w:r>
      <w:r w:rsidRPr="00203D50">
        <w:rPr>
          <w:rFonts w:cs="Arial"/>
          <w:color w:val="000000"/>
          <w:u w:val="single"/>
        </w:rPr>
        <w:t>://www</w:t>
      </w:r>
      <w:r w:rsidRPr="00E2591A">
        <w:rPr>
          <w:rFonts w:cs="Arial"/>
          <w:u w:val="single"/>
        </w:rPr>
        <w:t>.lds.sachsen.de/bekanntmachung</w:t>
      </w:r>
      <w:r w:rsidRPr="00E2591A">
        <w:rPr>
          <w:rFonts w:cs="Arial"/>
        </w:rPr>
        <w:t xml:space="preserve"> unter der Rubrik Infrastruktur einsehbar.</w:t>
      </w:r>
    </w:p>
    <w:p w14:paraId="76F0844E" w14:textId="56D716F0" w:rsidR="00EF4F39" w:rsidRDefault="008536E0" w:rsidP="00EF4F39">
      <w:pPr>
        <w:autoSpaceDE w:val="0"/>
        <w:autoSpaceDN w:val="0"/>
        <w:adjustRightInd w:val="0"/>
      </w:pPr>
      <w:r>
        <w:t>Leipzig, den 25. September 2024</w:t>
      </w:r>
    </w:p>
    <w:p w14:paraId="1497D1CD" w14:textId="77777777" w:rsidR="002F0AA4" w:rsidRPr="00E2591A" w:rsidRDefault="002F0AA4" w:rsidP="00EF4F39">
      <w:pPr>
        <w:autoSpaceDE w:val="0"/>
        <w:autoSpaceDN w:val="0"/>
        <w:adjustRightInd w:val="0"/>
      </w:pPr>
    </w:p>
    <w:p w14:paraId="041092C9" w14:textId="77777777" w:rsidR="00EF4F39" w:rsidRPr="0033488C" w:rsidRDefault="00EF4F39" w:rsidP="00EF4F39">
      <w:pPr>
        <w:jc w:val="center"/>
      </w:pPr>
      <w:r w:rsidRPr="0033488C">
        <w:t>Landesdirektion Sachsen</w:t>
      </w:r>
    </w:p>
    <w:p w14:paraId="0ADBD29C" w14:textId="77777777" w:rsidR="00EF4F39" w:rsidRPr="0033488C" w:rsidRDefault="00EF4F39" w:rsidP="00EF4F39">
      <w:pPr>
        <w:jc w:val="center"/>
      </w:pPr>
      <w:r w:rsidRPr="0033488C">
        <w:t>Keune</w:t>
      </w:r>
    </w:p>
    <w:p w14:paraId="4B263497" w14:textId="7DFD1CB9" w:rsidR="00460251" w:rsidRPr="00460251" w:rsidRDefault="00EF4F39" w:rsidP="00BF60FF">
      <w:pPr>
        <w:jc w:val="center"/>
      </w:pPr>
      <w:r w:rsidRPr="0033488C">
        <w:t>Referatsleiter Planfeststellung</w:t>
      </w:r>
    </w:p>
    <w:sectPr w:rsidR="00460251" w:rsidRPr="00460251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FFA21E6"/>
    <w:multiLevelType w:val="hybridMultilevel"/>
    <w:tmpl w:val="D3E8052E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EC9577D"/>
    <w:multiLevelType w:val="multilevel"/>
    <w:tmpl w:val="6FA47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autoHyphenation/>
  <w:consecutiveHyphenLimit w:val="1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6D"/>
    <w:rsid w:val="00037431"/>
    <w:rsid w:val="001B3FF1"/>
    <w:rsid w:val="00264E4B"/>
    <w:rsid w:val="002B0230"/>
    <w:rsid w:val="002D56AF"/>
    <w:rsid w:val="002F0AA4"/>
    <w:rsid w:val="003028D0"/>
    <w:rsid w:val="00416627"/>
    <w:rsid w:val="00460251"/>
    <w:rsid w:val="0046767D"/>
    <w:rsid w:val="0050434A"/>
    <w:rsid w:val="00585AE7"/>
    <w:rsid w:val="006078B8"/>
    <w:rsid w:val="006F2E1E"/>
    <w:rsid w:val="007E3C6D"/>
    <w:rsid w:val="008536E0"/>
    <w:rsid w:val="00916799"/>
    <w:rsid w:val="009303B2"/>
    <w:rsid w:val="009A0B9E"/>
    <w:rsid w:val="00A17E86"/>
    <w:rsid w:val="00BA29A4"/>
    <w:rsid w:val="00BF60FF"/>
    <w:rsid w:val="00C30829"/>
    <w:rsid w:val="00C37D71"/>
    <w:rsid w:val="00CC783D"/>
    <w:rsid w:val="00CF37A4"/>
    <w:rsid w:val="00D74561"/>
    <w:rsid w:val="00D85D4B"/>
    <w:rsid w:val="00E20D95"/>
    <w:rsid w:val="00EF32E3"/>
    <w:rsid w:val="00EF4F39"/>
    <w:rsid w:val="00F01F87"/>
    <w:rsid w:val="00F232FA"/>
    <w:rsid w:val="00F5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347A"/>
  <w15:docId w15:val="{72D8332F-0500-4358-9BCE-A670CBF4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3C6D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56AF"/>
    <w:pPr>
      <w:keepNext/>
      <w:keepLines/>
      <w:spacing w:before="48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56AF"/>
    <w:pPr>
      <w:keepNext/>
      <w:keepLines/>
      <w:spacing w:before="2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56AF"/>
    <w:pPr>
      <w:keepNext/>
      <w:keepLines/>
      <w:spacing w:before="2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BlockNach12pt">
    <w:name w:val="1_LDS Standard Block Nach: 12 pt"/>
    <w:basedOn w:val="Standard"/>
    <w:rsid w:val="002D56AF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2D56AF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2D56AF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2D56AF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F01F87"/>
    <w:pPr>
      <w:keepNext/>
      <w:keepLines/>
      <w:numPr>
        <w:numId w:val="9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5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F01F87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5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F01F87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5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60251"/>
    <w:rPr>
      <w:color w:val="0000FF" w:themeColor="hyperlink"/>
      <w:u w:val="single"/>
    </w:rPr>
  </w:style>
  <w:style w:type="paragraph" w:customStyle="1" w:styleId="1LDSberschrift4">
    <w:name w:val="1_LDS Überschrift 4"/>
    <w:basedOn w:val="1LDSberschrift2"/>
    <w:next w:val="1LDSStandardBlockNach12pt"/>
    <w:rsid w:val="00F01F87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F01F87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F01F87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F01F87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F01F87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F01F87"/>
    <w:pPr>
      <w:numPr>
        <w:ilvl w:val="8"/>
      </w:numPr>
      <w:outlineLvl w:val="8"/>
    </w:pPr>
  </w:style>
  <w:style w:type="paragraph" w:styleId="Textkrper">
    <w:name w:val="Body Text"/>
    <w:basedOn w:val="Standard"/>
    <w:link w:val="TextkrperZchn"/>
    <w:unhideWhenUsed/>
    <w:rsid w:val="007E3C6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E3C6D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F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annemarie.rode</dc:creator>
  <cp:lastModifiedBy>claudia.moebius</cp:lastModifiedBy>
  <cp:revision>8</cp:revision>
  <dcterms:created xsi:type="dcterms:W3CDTF">2024-09-25T07:40:00Z</dcterms:created>
  <dcterms:modified xsi:type="dcterms:W3CDTF">2024-09-26T07:57:00Z</dcterms:modified>
</cp:coreProperties>
</file>