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D" w:rsidRPr="000D175D" w:rsidRDefault="000D175D" w:rsidP="000D175D">
      <w:pPr>
        <w:jc w:val="both"/>
        <w:rPr>
          <w:rFonts w:cs="Arial"/>
          <w:szCs w:val="22"/>
        </w:rPr>
      </w:pPr>
      <w:bookmarkStart w:id="0" w:name="_GoBack"/>
      <w:bookmarkEnd w:id="0"/>
    </w:p>
    <w:p w:rsidR="000D175D" w:rsidRPr="000D175D" w:rsidRDefault="000D175D" w:rsidP="000D175D">
      <w:pPr>
        <w:jc w:val="both"/>
        <w:rPr>
          <w:rFonts w:cs="Arial"/>
          <w:szCs w:val="22"/>
        </w:rPr>
      </w:pPr>
    </w:p>
    <w:p w:rsidR="000D175D" w:rsidRPr="000D175D" w:rsidRDefault="000D175D" w:rsidP="000D175D">
      <w:pPr>
        <w:keepNext/>
        <w:jc w:val="center"/>
        <w:outlineLvl w:val="1"/>
        <w:rPr>
          <w:rFonts w:cs="Arial"/>
          <w:b/>
          <w:bCs/>
          <w:sz w:val="28"/>
          <w:szCs w:val="28"/>
        </w:rPr>
      </w:pPr>
      <w:r w:rsidRPr="000D175D">
        <w:rPr>
          <w:rFonts w:cs="Arial"/>
          <w:b/>
          <w:bCs/>
          <w:sz w:val="28"/>
          <w:szCs w:val="28"/>
        </w:rPr>
        <w:t>Bekanntmachung</w:t>
      </w:r>
    </w:p>
    <w:p w:rsidR="000D175D" w:rsidRPr="000D175D" w:rsidRDefault="000D175D" w:rsidP="000D175D">
      <w:pPr>
        <w:jc w:val="center"/>
        <w:rPr>
          <w:rFonts w:cs="Arial"/>
          <w:sz w:val="28"/>
          <w:szCs w:val="28"/>
        </w:rPr>
      </w:pPr>
    </w:p>
    <w:p w:rsidR="000D175D" w:rsidRPr="000D175D" w:rsidRDefault="000D175D" w:rsidP="000D175D">
      <w:pPr>
        <w:jc w:val="center"/>
        <w:rPr>
          <w:rFonts w:cs="Arial"/>
          <w:b/>
          <w:bCs/>
          <w:sz w:val="24"/>
          <w:szCs w:val="24"/>
        </w:rPr>
      </w:pPr>
      <w:r w:rsidRPr="000D175D">
        <w:rPr>
          <w:rFonts w:cs="Arial"/>
          <w:b/>
          <w:bCs/>
          <w:sz w:val="24"/>
          <w:szCs w:val="24"/>
        </w:rPr>
        <w:t>Planfeststellung für das Bauvorhaben</w:t>
      </w:r>
    </w:p>
    <w:p w:rsidR="00371367" w:rsidRDefault="000D175D" w:rsidP="00371367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„</w:t>
      </w:r>
      <w:r w:rsidR="00C94AAD">
        <w:rPr>
          <w:rFonts w:cs="Arial"/>
          <w:b/>
          <w:bCs/>
          <w:sz w:val="24"/>
          <w:szCs w:val="24"/>
        </w:rPr>
        <w:t>Neubau Ferngasleitung (FGL) 02“</w:t>
      </w:r>
    </w:p>
    <w:p w:rsidR="00C94AAD" w:rsidRPr="000D175D" w:rsidRDefault="00C94AAD" w:rsidP="00371367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Teilabschnitt Sachsen</w:t>
      </w:r>
    </w:p>
    <w:p w:rsidR="000B255B" w:rsidRDefault="000B255B" w:rsidP="00543DB1"/>
    <w:p w:rsidR="000D175D" w:rsidRDefault="000D175D" w:rsidP="00543DB1"/>
    <w:p w:rsidR="00371367" w:rsidRDefault="000D175D" w:rsidP="00115117">
      <w:pPr>
        <w:jc w:val="both"/>
      </w:pPr>
      <w:r>
        <w:t xml:space="preserve">Die </w:t>
      </w:r>
      <w:r w:rsidR="00C94AAD">
        <w:t>ONTRAS</w:t>
      </w:r>
      <w:r w:rsidR="00AF3E72">
        <w:t xml:space="preserve"> Gastransport GmbH</w:t>
      </w:r>
      <w:r w:rsidR="00371367">
        <w:t xml:space="preserve">, </w:t>
      </w:r>
      <w:r w:rsidR="00C94AAD">
        <w:t>Maximilianallee 4, 04129 Leipzig</w:t>
      </w:r>
      <w:r w:rsidR="00371367">
        <w:t xml:space="preserve"> </w:t>
      </w:r>
      <w:r>
        <w:t>hat</w:t>
      </w:r>
      <w:r w:rsidR="00AF3E72">
        <w:t xml:space="preserve"> </w:t>
      </w:r>
      <w:r w:rsidR="00371367">
        <w:t>bei der Landesd</w:t>
      </w:r>
      <w:r w:rsidR="00371367">
        <w:t>i</w:t>
      </w:r>
      <w:r w:rsidR="00371367">
        <w:t xml:space="preserve">rektion Sachsen, </w:t>
      </w:r>
      <w:r>
        <w:t xml:space="preserve">die Durchführung </w:t>
      </w:r>
      <w:r w:rsidR="00371367">
        <w:t>eines</w:t>
      </w:r>
      <w:r>
        <w:t xml:space="preserve"> Planfeststellungsverfahrens </w:t>
      </w:r>
      <w:r w:rsidR="00371367">
        <w:t xml:space="preserve">für die </w:t>
      </w:r>
      <w:r w:rsidR="00C94AAD">
        <w:t xml:space="preserve">Neuverlegung der Ferngasleitung 012 einschließlich der Nebenanlagen (Anschlussleitungen) </w:t>
      </w:r>
      <w:r w:rsidR="00282982">
        <w:t>für den A</w:t>
      </w:r>
      <w:r w:rsidR="00282982">
        <w:t>b</w:t>
      </w:r>
      <w:r w:rsidR="00282982">
        <w:t xml:space="preserve">schnitt im Freistaat Sachsen, Landesgrenze Brandenburg bis </w:t>
      </w:r>
      <w:proofErr w:type="spellStart"/>
      <w:r w:rsidR="00282982">
        <w:t>Strehla</w:t>
      </w:r>
      <w:proofErr w:type="spellEnd"/>
      <w:r w:rsidR="00282982">
        <w:t xml:space="preserve">, </w:t>
      </w:r>
      <w:r w:rsidR="00371367">
        <w:t>gemäß § 43 Satz 1 Nr. 2 des Energiewirtschaftsgesetzes (EnWG) i. V. m. § 1 Abs. 1 Satz 1 des Verwaltungsverfa</w:t>
      </w:r>
      <w:r w:rsidR="00371367">
        <w:t>h</w:t>
      </w:r>
      <w:r w:rsidR="00371367">
        <w:t>rens- und Verwaltungszustellungsrechts für den Freistaat Sachsen (</w:t>
      </w:r>
      <w:proofErr w:type="spellStart"/>
      <w:r w:rsidR="00371367">
        <w:t>SächsVwVfZG</w:t>
      </w:r>
      <w:proofErr w:type="spellEnd"/>
      <w:r w:rsidR="00371367">
        <w:t xml:space="preserve">) </w:t>
      </w:r>
      <w:r>
        <w:t>bea</w:t>
      </w:r>
      <w:r>
        <w:t>n</w:t>
      </w:r>
      <w:r>
        <w:t>tragt</w:t>
      </w:r>
      <w:r w:rsidR="00AC44EF">
        <w:t xml:space="preserve">. </w:t>
      </w:r>
    </w:p>
    <w:p w:rsidR="008F3415" w:rsidRDefault="008F3415" w:rsidP="00115117">
      <w:pPr>
        <w:jc w:val="both"/>
      </w:pPr>
    </w:p>
    <w:p w:rsidR="000526BC" w:rsidRDefault="008F3415" w:rsidP="00115117">
      <w:pPr>
        <w:jc w:val="both"/>
      </w:pPr>
      <w:r>
        <w:t>Für das Bauvorhaben einschließlich der landschaftspflegerischen Ausgleichs- und Ersat</w:t>
      </w:r>
      <w:r>
        <w:t>z</w:t>
      </w:r>
      <w:r w:rsidR="000526BC">
        <w:t>maßnahmen sind Flurstücke in folgenden Gemarkungen betroffen:</w:t>
      </w:r>
    </w:p>
    <w:p w:rsidR="005A775C" w:rsidRDefault="005A775C" w:rsidP="00115117">
      <w:pPr>
        <w:jc w:val="both"/>
      </w:pPr>
    </w:p>
    <w:p w:rsidR="00282982" w:rsidRDefault="00282982" w:rsidP="00115117">
      <w:pPr>
        <w:jc w:val="both"/>
      </w:pPr>
      <w:r>
        <w:t xml:space="preserve">Gemeinde </w:t>
      </w:r>
      <w:proofErr w:type="spellStart"/>
      <w:r>
        <w:t>Röderaue</w:t>
      </w:r>
      <w:proofErr w:type="spellEnd"/>
      <w:r>
        <w:t xml:space="preserve"> – Gemarkungen Frauenhain, Pulsen, </w:t>
      </w:r>
      <w:proofErr w:type="spellStart"/>
      <w:r>
        <w:t>Koselitz</w:t>
      </w:r>
      <w:proofErr w:type="spellEnd"/>
      <w:r>
        <w:t>;</w:t>
      </w:r>
    </w:p>
    <w:p w:rsidR="005A775C" w:rsidRDefault="00282982" w:rsidP="00115117">
      <w:pPr>
        <w:jc w:val="both"/>
      </w:pPr>
      <w:r>
        <w:t xml:space="preserve">Stadt </w:t>
      </w:r>
      <w:proofErr w:type="spellStart"/>
      <w:r>
        <w:t>Gröditz</w:t>
      </w:r>
      <w:proofErr w:type="spellEnd"/>
      <w:r>
        <w:t xml:space="preserve"> – Gemarkung </w:t>
      </w:r>
      <w:proofErr w:type="spellStart"/>
      <w:r>
        <w:t>Gröditz</w:t>
      </w:r>
      <w:proofErr w:type="spellEnd"/>
      <w:r>
        <w:t>;</w:t>
      </w:r>
    </w:p>
    <w:p w:rsidR="005A775C" w:rsidRDefault="005A775C" w:rsidP="00115117">
      <w:pPr>
        <w:jc w:val="both"/>
      </w:pPr>
      <w:r>
        <w:t xml:space="preserve">Gemeinde </w:t>
      </w:r>
      <w:proofErr w:type="spellStart"/>
      <w:r w:rsidR="00282982">
        <w:t>Wülknitz</w:t>
      </w:r>
      <w:proofErr w:type="spellEnd"/>
      <w:r>
        <w:t xml:space="preserve"> – Gemarkungen </w:t>
      </w:r>
      <w:proofErr w:type="spellStart"/>
      <w:r w:rsidR="00282982">
        <w:t>Wülknitz</w:t>
      </w:r>
      <w:proofErr w:type="spellEnd"/>
      <w:r w:rsidR="00282982">
        <w:t xml:space="preserve">, </w:t>
      </w:r>
      <w:proofErr w:type="spellStart"/>
      <w:r w:rsidR="00282982">
        <w:t>Lichtensee</w:t>
      </w:r>
      <w:proofErr w:type="spellEnd"/>
      <w:r w:rsidR="00282982">
        <w:t xml:space="preserve">, </w:t>
      </w:r>
      <w:proofErr w:type="spellStart"/>
      <w:r w:rsidR="00282982">
        <w:t>Streumen</w:t>
      </w:r>
      <w:proofErr w:type="spellEnd"/>
      <w:r w:rsidR="002B67F5">
        <w:t>;</w:t>
      </w:r>
    </w:p>
    <w:p w:rsidR="005A775C" w:rsidRDefault="005A775C" w:rsidP="00115117">
      <w:pPr>
        <w:jc w:val="both"/>
      </w:pPr>
      <w:r>
        <w:t xml:space="preserve">Gemeinde </w:t>
      </w:r>
      <w:proofErr w:type="spellStart"/>
      <w:r w:rsidR="00282982">
        <w:t>Zeithain</w:t>
      </w:r>
      <w:proofErr w:type="spellEnd"/>
      <w:r>
        <w:t xml:space="preserve"> – Gemarkungen </w:t>
      </w:r>
      <w:proofErr w:type="spellStart"/>
      <w:r w:rsidR="00282982">
        <w:t>Zeithain</w:t>
      </w:r>
      <w:proofErr w:type="spellEnd"/>
      <w:r w:rsidR="00282982">
        <w:t xml:space="preserve">, Neudorf, </w:t>
      </w:r>
      <w:proofErr w:type="spellStart"/>
      <w:r w:rsidR="00282982">
        <w:t>Bobersen</w:t>
      </w:r>
      <w:proofErr w:type="spellEnd"/>
      <w:r w:rsidR="00282982">
        <w:t>;</w:t>
      </w:r>
      <w:r>
        <w:t xml:space="preserve"> </w:t>
      </w:r>
    </w:p>
    <w:p w:rsidR="005A775C" w:rsidRDefault="005A775C" w:rsidP="00115117">
      <w:pPr>
        <w:jc w:val="both"/>
      </w:pPr>
      <w:r>
        <w:t xml:space="preserve">Gemeinde </w:t>
      </w:r>
      <w:proofErr w:type="spellStart"/>
      <w:r w:rsidR="00282982">
        <w:t>Glaubitz</w:t>
      </w:r>
      <w:proofErr w:type="spellEnd"/>
      <w:r>
        <w:t xml:space="preserve"> – Gemarkungen </w:t>
      </w:r>
      <w:proofErr w:type="spellStart"/>
      <w:r w:rsidR="00282982">
        <w:t>Marksiedlitz</w:t>
      </w:r>
      <w:proofErr w:type="spellEnd"/>
      <w:r w:rsidR="00282982">
        <w:t xml:space="preserve">, </w:t>
      </w:r>
      <w:proofErr w:type="spellStart"/>
      <w:r w:rsidR="00282982">
        <w:t>Glaubitz</w:t>
      </w:r>
      <w:proofErr w:type="spellEnd"/>
      <w:r w:rsidR="00282982">
        <w:t xml:space="preserve">, </w:t>
      </w:r>
      <w:proofErr w:type="spellStart"/>
      <w:r w:rsidR="00282982">
        <w:t>Radewitz</w:t>
      </w:r>
      <w:proofErr w:type="spellEnd"/>
      <w:r w:rsidR="002B67F5">
        <w:t>;</w:t>
      </w:r>
    </w:p>
    <w:p w:rsidR="00282982" w:rsidRDefault="00282982" w:rsidP="00115117">
      <w:pPr>
        <w:jc w:val="both"/>
      </w:pPr>
      <w:r>
        <w:t xml:space="preserve">Gemeinde </w:t>
      </w:r>
      <w:proofErr w:type="spellStart"/>
      <w:r>
        <w:t>Nünchritz</w:t>
      </w:r>
      <w:proofErr w:type="spellEnd"/>
      <w:r>
        <w:t xml:space="preserve"> – Gemarkung</w:t>
      </w:r>
      <w:r w:rsidR="00AA5102">
        <w:t>en</w:t>
      </w:r>
      <w:r>
        <w:t xml:space="preserve"> </w:t>
      </w:r>
      <w:proofErr w:type="spellStart"/>
      <w:r>
        <w:t>Zschaiten</w:t>
      </w:r>
      <w:proofErr w:type="spellEnd"/>
      <w:r>
        <w:t>;</w:t>
      </w:r>
      <w:r w:rsidR="00AA5102">
        <w:t xml:space="preserve"> </w:t>
      </w:r>
      <w:proofErr w:type="spellStart"/>
      <w:r w:rsidR="00AA5102">
        <w:t>Goltzscha</w:t>
      </w:r>
      <w:proofErr w:type="spellEnd"/>
      <w:r w:rsidR="00AA5102">
        <w:t xml:space="preserve">, </w:t>
      </w:r>
      <w:proofErr w:type="spellStart"/>
      <w:r w:rsidR="00AA5102">
        <w:t>Merschwitz</w:t>
      </w:r>
      <w:proofErr w:type="spellEnd"/>
    </w:p>
    <w:p w:rsidR="00282982" w:rsidRDefault="00282982" w:rsidP="00115117">
      <w:pPr>
        <w:jc w:val="both"/>
      </w:pPr>
      <w:r>
        <w:t xml:space="preserve">Stadt Riesa – Gemarkungen </w:t>
      </w:r>
      <w:proofErr w:type="spellStart"/>
      <w:r>
        <w:t>Gröba</w:t>
      </w:r>
      <w:proofErr w:type="spellEnd"/>
      <w:r>
        <w:t xml:space="preserve">, </w:t>
      </w:r>
      <w:proofErr w:type="spellStart"/>
      <w:r>
        <w:t>Canitz</w:t>
      </w:r>
      <w:proofErr w:type="spellEnd"/>
      <w:r>
        <w:t>;</w:t>
      </w:r>
    </w:p>
    <w:p w:rsidR="00282982" w:rsidRDefault="00282982" w:rsidP="00115117">
      <w:pPr>
        <w:jc w:val="both"/>
      </w:pPr>
      <w:r>
        <w:t xml:space="preserve">Stadt </w:t>
      </w:r>
      <w:proofErr w:type="spellStart"/>
      <w:r>
        <w:t>Strehla</w:t>
      </w:r>
      <w:proofErr w:type="spellEnd"/>
      <w:r>
        <w:t xml:space="preserve"> – Gemarkungen </w:t>
      </w:r>
      <w:proofErr w:type="spellStart"/>
      <w:r>
        <w:t>Fo</w:t>
      </w:r>
      <w:r w:rsidR="002D39B6">
        <w:t>rberge</w:t>
      </w:r>
      <w:proofErr w:type="spellEnd"/>
      <w:r w:rsidR="002D39B6">
        <w:t xml:space="preserve">, Unterreußen, </w:t>
      </w:r>
      <w:proofErr w:type="spellStart"/>
      <w:r w:rsidR="002D39B6">
        <w:t>Großrügeln</w:t>
      </w:r>
      <w:proofErr w:type="spellEnd"/>
      <w:r w:rsidR="002D39B6">
        <w:t>.</w:t>
      </w:r>
    </w:p>
    <w:p w:rsidR="00E979A3" w:rsidRDefault="00E979A3" w:rsidP="00115117">
      <w:pPr>
        <w:jc w:val="both"/>
      </w:pPr>
    </w:p>
    <w:p w:rsidR="000526BC" w:rsidRPr="00394F41" w:rsidRDefault="00394F41" w:rsidP="00115117">
      <w:pPr>
        <w:jc w:val="both"/>
      </w:pPr>
      <w:r w:rsidRPr="00394F41">
        <w:t>Für das Vorhaben besteht eine Verpflichtung zur Durchführung einer Umweltverträglichkeit</w:t>
      </w:r>
      <w:r w:rsidRPr="00394F41">
        <w:t>s</w:t>
      </w:r>
      <w:r w:rsidRPr="00394F41">
        <w:t>prüfung nach dem Gesetz über die Umweltverträglichkeitsprüfung (UVPG).</w:t>
      </w:r>
    </w:p>
    <w:p w:rsidR="00773AE5" w:rsidRDefault="00773AE5" w:rsidP="00115117">
      <w:pPr>
        <w:jc w:val="both"/>
      </w:pPr>
    </w:p>
    <w:p w:rsidR="008F3415" w:rsidRDefault="000526BC" w:rsidP="00115117">
      <w:pPr>
        <w:jc w:val="both"/>
      </w:pPr>
      <w:r>
        <w:t>Der Vorhabenträger hat die folgenden entscheidungserheblichen Unterlagen über die U</w:t>
      </w:r>
      <w:r>
        <w:t>m</w:t>
      </w:r>
      <w:r>
        <w:t>weltauswirkungen des Vorhabens vorgelegt, die Bestandteil Auslegungsunterlagen sind:</w:t>
      </w:r>
    </w:p>
    <w:p w:rsidR="000526BC" w:rsidRDefault="000526BC" w:rsidP="0011511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526BC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526BC" w:rsidRDefault="000526BC" w:rsidP="00DE6199">
            <w:pPr>
              <w:jc w:val="center"/>
            </w:pPr>
            <w:r>
              <w:t>Nr. der Unterlage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6BC" w:rsidRDefault="000526BC" w:rsidP="003C3C78">
            <w:r>
              <w:t>Bezeichnung</w:t>
            </w:r>
          </w:p>
        </w:tc>
      </w:tr>
      <w:tr w:rsidR="000526BC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526BC" w:rsidRDefault="000526BC" w:rsidP="00DE6199">
            <w:pPr>
              <w:jc w:val="center"/>
            </w:pPr>
            <w: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6BC" w:rsidRDefault="000526BC" w:rsidP="003C3C78">
            <w:r>
              <w:t>Erläuterungsbericht</w:t>
            </w:r>
          </w:p>
        </w:tc>
      </w:tr>
      <w:tr w:rsidR="000526BC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526BC" w:rsidRDefault="000526BC" w:rsidP="00DE6199">
            <w:pPr>
              <w:jc w:val="center"/>
            </w:pPr>
            <w:r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6BC" w:rsidRDefault="002D39B6" w:rsidP="003C3C78">
            <w:r>
              <w:t>Übersichtspläne</w:t>
            </w:r>
          </w:p>
        </w:tc>
      </w:tr>
      <w:tr w:rsidR="0008600E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8600E" w:rsidRDefault="0008600E" w:rsidP="00DE6199">
            <w:pPr>
              <w:jc w:val="center"/>
            </w:pPr>
            <w: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8600E" w:rsidRDefault="002D39B6" w:rsidP="003C3C78">
            <w:r>
              <w:t>Detailpläne</w:t>
            </w:r>
          </w:p>
        </w:tc>
      </w:tr>
      <w:tr w:rsidR="000526BC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526BC" w:rsidRDefault="000526BC" w:rsidP="00DE6199">
            <w:pPr>
              <w:jc w:val="center"/>
            </w:pPr>
            <w:r>
              <w:t>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6BC" w:rsidRDefault="002D39B6" w:rsidP="003C3C78">
            <w:r>
              <w:t>Kreuzungsverzeichnis</w:t>
            </w:r>
          </w:p>
        </w:tc>
      </w:tr>
      <w:tr w:rsidR="0008600E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8600E" w:rsidRDefault="0008600E" w:rsidP="00DE6199">
            <w:pPr>
              <w:jc w:val="center"/>
            </w:pPr>
            <w:r>
              <w:t>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8600E" w:rsidRDefault="002D39B6" w:rsidP="003C3C78">
            <w:r>
              <w:t>Grundstücksverzeichnis</w:t>
            </w:r>
          </w:p>
        </w:tc>
      </w:tr>
      <w:tr w:rsidR="0008600E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8600E" w:rsidRDefault="0008600E" w:rsidP="00DE6199">
            <w:pPr>
              <w:jc w:val="center"/>
            </w:pPr>
            <w:r>
              <w:t>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8600E" w:rsidRDefault="002D39B6" w:rsidP="003C3C78">
            <w:r>
              <w:t>Wasserrecht</w:t>
            </w:r>
          </w:p>
        </w:tc>
      </w:tr>
      <w:tr w:rsidR="0008600E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8600E" w:rsidRDefault="0008600E" w:rsidP="00DE6199">
            <w:pPr>
              <w:jc w:val="center"/>
            </w:pPr>
            <w:r>
              <w:t>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8600E" w:rsidRDefault="002D39B6" w:rsidP="003C3C78">
            <w:r>
              <w:t>Forstfachliche Würdigung</w:t>
            </w:r>
          </w:p>
        </w:tc>
      </w:tr>
      <w:tr w:rsidR="000526BC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526BC" w:rsidRDefault="000526BC" w:rsidP="00DE6199">
            <w:pPr>
              <w:jc w:val="center"/>
            </w:pPr>
            <w:r>
              <w:lastRenderedPageBreak/>
              <w:t>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6BC" w:rsidRDefault="000526BC" w:rsidP="003C3C78">
            <w:r>
              <w:t>UVP-Bericht</w:t>
            </w:r>
          </w:p>
        </w:tc>
      </w:tr>
      <w:tr w:rsidR="000526BC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526BC" w:rsidRDefault="003C3C78" w:rsidP="00DE6199">
            <w:pPr>
              <w:jc w:val="center"/>
            </w:pPr>
            <w:r>
              <w:t>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6BC" w:rsidRDefault="002D39B6" w:rsidP="003C3C78">
            <w:r>
              <w:t>Landschaftspflegerischer Begleitplan</w:t>
            </w:r>
            <w:r w:rsidR="00DF2AEC">
              <w:t xml:space="preserve"> (LBP)</w:t>
            </w:r>
          </w:p>
        </w:tc>
      </w:tr>
      <w:tr w:rsidR="000526BC" w:rsidTr="00DF2AEC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7E463C" w:rsidRDefault="003C3C78" w:rsidP="00DF2AEC">
            <w:pPr>
              <w:jc w:val="center"/>
            </w:pPr>
            <w:r>
              <w:t>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6BC" w:rsidRDefault="003C3C78" w:rsidP="00DF2AEC">
            <w:r>
              <w:t>NATURA 2000</w:t>
            </w:r>
          </w:p>
        </w:tc>
      </w:tr>
      <w:tr w:rsidR="000526BC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526BC" w:rsidRDefault="003C3C78" w:rsidP="00DE6199">
            <w:pPr>
              <w:jc w:val="center"/>
            </w:pPr>
            <w:r>
              <w:t>11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6BC" w:rsidRDefault="003C3C78" w:rsidP="003C3C78">
            <w:r>
              <w:t>Artenschutzrechtlicher Fachbeitrag</w:t>
            </w:r>
          </w:p>
        </w:tc>
      </w:tr>
      <w:tr w:rsidR="000526BC" w:rsidTr="00DE6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526BC" w:rsidRDefault="003C3C78" w:rsidP="00DE6199">
            <w:pPr>
              <w:jc w:val="center"/>
            </w:pPr>
            <w:r>
              <w:t>12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6BC" w:rsidRDefault="002D39B6" w:rsidP="003C3C78">
            <w:r>
              <w:t>Fachbeitrag Wasserrahmenrichtlinie</w:t>
            </w:r>
          </w:p>
        </w:tc>
      </w:tr>
    </w:tbl>
    <w:p w:rsidR="008F3415" w:rsidRDefault="008F3415" w:rsidP="00115117">
      <w:pPr>
        <w:jc w:val="both"/>
      </w:pPr>
    </w:p>
    <w:p w:rsidR="00F96652" w:rsidRDefault="00F96652" w:rsidP="00115117">
      <w:pPr>
        <w:jc w:val="both"/>
      </w:pPr>
    </w:p>
    <w:p w:rsidR="001F617F" w:rsidRPr="00393506" w:rsidRDefault="001F617F" w:rsidP="00115117">
      <w:pPr>
        <w:jc w:val="both"/>
      </w:pPr>
      <w:r w:rsidRPr="00393506">
        <w:t>Die ausgelegten Planunterlagen enthalten die nach § 16 Abs. 1 UVPG notwendigen Unterl</w:t>
      </w:r>
      <w:r w:rsidRPr="00393506">
        <w:t>a</w:t>
      </w:r>
      <w:r w:rsidRPr="00393506">
        <w:t>gen für die Umweltverträglichkeitsprüfung. Die hiermit eingeleitete Anhörung zu den Planu</w:t>
      </w:r>
      <w:r w:rsidRPr="00393506">
        <w:t>n</w:t>
      </w:r>
      <w:r w:rsidRPr="00393506">
        <w:t>terlagen (§ 43a EnWG i. V. m. § 73 Abs. 3 bis 5 VwVfG) stellt zugleich die Beteiligung der Öffentlichkeit zu den Umweltauswirkungen nach § 18 Abs. 1 UVPG dar.</w:t>
      </w:r>
    </w:p>
    <w:p w:rsidR="001F617F" w:rsidRDefault="001F617F" w:rsidP="00115117">
      <w:pPr>
        <w:jc w:val="both"/>
      </w:pPr>
    </w:p>
    <w:p w:rsidR="00F96652" w:rsidRDefault="0065078F" w:rsidP="0065078F">
      <w:pPr>
        <w:jc w:val="both"/>
      </w:pPr>
      <w:r>
        <w:t xml:space="preserve">Der Plan (Zeichnungen und Erläuterungen) liegt in der Zeit </w:t>
      </w:r>
    </w:p>
    <w:p w:rsidR="00F96652" w:rsidRDefault="00F96652" w:rsidP="0065078F">
      <w:pPr>
        <w:jc w:val="both"/>
      </w:pPr>
    </w:p>
    <w:p w:rsidR="00F96652" w:rsidRPr="00F96652" w:rsidRDefault="00AB2253" w:rsidP="00F96652">
      <w:pPr>
        <w:jc w:val="center"/>
        <w:rPr>
          <w:b/>
        </w:rPr>
      </w:pPr>
      <w:r>
        <w:rPr>
          <w:b/>
        </w:rPr>
        <w:t xml:space="preserve">vom </w:t>
      </w:r>
      <w:r w:rsidR="00964B81">
        <w:rPr>
          <w:b/>
        </w:rPr>
        <w:t>6. Mai</w:t>
      </w:r>
      <w:r>
        <w:rPr>
          <w:b/>
        </w:rPr>
        <w:t xml:space="preserve"> bis </w:t>
      </w:r>
      <w:r w:rsidR="00964B81">
        <w:rPr>
          <w:b/>
        </w:rPr>
        <w:t>5. Juni 2019</w:t>
      </w:r>
    </w:p>
    <w:p w:rsidR="00F96652" w:rsidRDefault="00F96652" w:rsidP="0065078F">
      <w:pPr>
        <w:jc w:val="both"/>
        <w:rPr>
          <w:b/>
        </w:rPr>
      </w:pPr>
    </w:p>
    <w:p w:rsidR="00760420" w:rsidRDefault="0065078F" w:rsidP="0065078F">
      <w:pPr>
        <w:jc w:val="both"/>
      </w:pPr>
      <w:r w:rsidRPr="0025469F">
        <w:t>in der</w:t>
      </w:r>
    </w:p>
    <w:p w:rsidR="00760420" w:rsidRDefault="00760420" w:rsidP="0065078F">
      <w:pPr>
        <w:jc w:val="both"/>
      </w:pPr>
    </w:p>
    <w:p w:rsidR="00760420" w:rsidRDefault="00760420" w:rsidP="0065078F">
      <w:pPr>
        <w:jc w:val="both"/>
      </w:pPr>
      <w:r>
        <w:t xml:space="preserve">Gemeindeverwaltung </w:t>
      </w:r>
      <w:proofErr w:type="spellStart"/>
      <w:r>
        <w:t>Gröditz</w:t>
      </w:r>
      <w:proofErr w:type="spellEnd"/>
      <w:r>
        <w:t xml:space="preserve">, Bürgerbüro, </w:t>
      </w:r>
      <w:proofErr w:type="spellStart"/>
      <w:r>
        <w:t>Reppiser</w:t>
      </w:r>
      <w:proofErr w:type="spellEnd"/>
      <w:r>
        <w:t xml:space="preserve"> Straße 19, 01609 </w:t>
      </w:r>
      <w:proofErr w:type="spellStart"/>
      <w:r>
        <w:t>Gröditz</w:t>
      </w:r>
      <w:proofErr w:type="spellEnd"/>
    </w:p>
    <w:p w:rsidR="00760420" w:rsidRDefault="00C60324" w:rsidP="0065078F">
      <w:pPr>
        <w:jc w:val="both"/>
      </w:pPr>
      <w:r>
        <w:t>w</w:t>
      </w:r>
      <w:r w:rsidR="00760420">
        <w:t>ährend der Diens</w:t>
      </w:r>
      <w:r>
        <w:t>t</w:t>
      </w:r>
      <w:r w:rsidR="00760420">
        <w:t>stunden</w:t>
      </w:r>
    </w:p>
    <w:p w:rsidR="00760420" w:rsidRDefault="00760420" w:rsidP="0065078F">
      <w:pPr>
        <w:jc w:val="both"/>
      </w:pPr>
      <w:r>
        <w:t>Montag:</w:t>
      </w:r>
      <w:r>
        <w:tab/>
        <w:t>08:00 - 16:00 Uhr</w:t>
      </w:r>
    </w:p>
    <w:p w:rsidR="00760420" w:rsidRDefault="00760420" w:rsidP="0065078F">
      <w:pPr>
        <w:jc w:val="both"/>
      </w:pPr>
      <w:r>
        <w:t xml:space="preserve">Dienstag: </w:t>
      </w:r>
      <w:r>
        <w:tab/>
        <w:t>08:00 - 18:00 Uhr</w:t>
      </w:r>
    </w:p>
    <w:p w:rsidR="00760420" w:rsidRDefault="00760420" w:rsidP="0065078F">
      <w:pPr>
        <w:jc w:val="both"/>
      </w:pPr>
      <w:r>
        <w:t>Mittwoch:</w:t>
      </w:r>
      <w:r>
        <w:tab/>
        <w:t>08:00 - 15:00 Uhr</w:t>
      </w:r>
    </w:p>
    <w:p w:rsidR="00760420" w:rsidRDefault="00760420" w:rsidP="0065078F">
      <w:pPr>
        <w:jc w:val="both"/>
      </w:pPr>
      <w:r>
        <w:t xml:space="preserve">Donnerstag: </w:t>
      </w:r>
      <w:r>
        <w:tab/>
        <w:t>08:00 - 18:00 Uhr</w:t>
      </w:r>
    </w:p>
    <w:p w:rsidR="00760420" w:rsidRDefault="00760420" w:rsidP="0065078F">
      <w:pPr>
        <w:jc w:val="both"/>
      </w:pPr>
      <w:r>
        <w:t>Freitag:</w:t>
      </w:r>
      <w:r>
        <w:tab/>
        <w:t>08:00 - 12:00 Uhr</w:t>
      </w:r>
    </w:p>
    <w:p w:rsidR="00760420" w:rsidRDefault="00760420" w:rsidP="0065078F">
      <w:pPr>
        <w:jc w:val="both"/>
      </w:pPr>
    </w:p>
    <w:p w:rsidR="00760420" w:rsidRDefault="00760420" w:rsidP="0065078F">
      <w:pPr>
        <w:jc w:val="both"/>
      </w:pPr>
      <w:r>
        <w:t xml:space="preserve">Gemeindeverwaltung </w:t>
      </w:r>
      <w:proofErr w:type="spellStart"/>
      <w:r>
        <w:t>Zeithain</w:t>
      </w:r>
      <w:proofErr w:type="spellEnd"/>
      <w:r>
        <w:t xml:space="preserve">, Bürgeramt, Hauptstraße 36a, 01619 </w:t>
      </w:r>
      <w:proofErr w:type="spellStart"/>
      <w:r>
        <w:t>Zeithain</w:t>
      </w:r>
      <w:proofErr w:type="spellEnd"/>
    </w:p>
    <w:p w:rsidR="00760420" w:rsidRDefault="0065078F" w:rsidP="0065078F">
      <w:pPr>
        <w:jc w:val="both"/>
      </w:pPr>
      <w:r w:rsidRPr="00AA5102">
        <w:rPr>
          <w:i/>
          <w:color w:val="FF0000"/>
          <w:sz w:val="18"/>
          <w:szCs w:val="18"/>
        </w:rPr>
        <w:t xml:space="preserve"> </w:t>
      </w:r>
      <w:r>
        <w:t>während der Dienststunden</w:t>
      </w:r>
    </w:p>
    <w:p w:rsidR="00760420" w:rsidRDefault="00760420" w:rsidP="0065078F">
      <w:pPr>
        <w:jc w:val="both"/>
      </w:pPr>
      <w:r>
        <w:t xml:space="preserve">Montag: </w:t>
      </w:r>
      <w:r>
        <w:tab/>
        <w:t>07:30 - 12:00 Uhr und 13:00 - 15:00 Uhr</w:t>
      </w:r>
    </w:p>
    <w:p w:rsidR="00760420" w:rsidRDefault="00760420" w:rsidP="0065078F">
      <w:pPr>
        <w:jc w:val="both"/>
      </w:pPr>
      <w:r>
        <w:t>Dienstag:</w:t>
      </w:r>
      <w:r>
        <w:tab/>
        <w:t>07:30 - 12:00 Uhr und 13:00 - 18:00 Uhr</w:t>
      </w:r>
    </w:p>
    <w:p w:rsidR="00760420" w:rsidRDefault="00760420" w:rsidP="0065078F">
      <w:pPr>
        <w:jc w:val="both"/>
      </w:pPr>
      <w:r>
        <w:t xml:space="preserve">Mittwoch: </w:t>
      </w:r>
      <w:r>
        <w:tab/>
        <w:t>07:30 - 12:00 Uhr und 13:00 - 15:00 Uhr</w:t>
      </w:r>
    </w:p>
    <w:p w:rsidR="00760420" w:rsidRDefault="00760420" w:rsidP="0065078F">
      <w:pPr>
        <w:jc w:val="both"/>
      </w:pPr>
      <w:r>
        <w:t>Donnerstag:</w:t>
      </w:r>
      <w:r>
        <w:tab/>
        <w:t>07:30 - 12:00 Uhr und 13:00 - 16:00 Uhr</w:t>
      </w:r>
    </w:p>
    <w:p w:rsidR="00760420" w:rsidRDefault="00760420" w:rsidP="0065078F">
      <w:pPr>
        <w:jc w:val="both"/>
      </w:pPr>
      <w:r>
        <w:t>Freitag:</w:t>
      </w:r>
      <w:r>
        <w:tab/>
        <w:t>07:30 - 12:00 Uhr</w:t>
      </w:r>
    </w:p>
    <w:p w:rsidR="00213A51" w:rsidRDefault="00213A51" w:rsidP="0065078F">
      <w:pPr>
        <w:jc w:val="both"/>
      </w:pPr>
    </w:p>
    <w:p w:rsidR="00213A51" w:rsidRDefault="00213A51" w:rsidP="0065078F">
      <w:pPr>
        <w:jc w:val="both"/>
      </w:pPr>
      <w:r>
        <w:t>Stadtverwaltung Riesa, Stadtarchiv, Goethestraße 66, 01589 Riesa, im Beratungsraum</w:t>
      </w:r>
    </w:p>
    <w:p w:rsidR="00213A51" w:rsidRDefault="00C60324" w:rsidP="0065078F">
      <w:pPr>
        <w:jc w:val="both"/>
      </w:pPr>
      <w:r>
        <w:t>w</w:t>
      </w:r>
      <w:r w:rsidR="00213A51">
        <w:t>ährend der Dienststunden</w:t>
      </w:r>
    </w:p>
    <w:p w:rsidR="00213A51" w:rsidRDefault="00213A51" w:rsidP="0065078F">
      <w:pPr>
        <w:jc w:val="both"/>
      </w:pPr>
      <w:r>
        <w:t>Montag:</w:t>
      </w:r>
      <w:r>
        <w:tab/>
        <w:t>09:00 – 12:00 Uhr und 13:00 – 14:00 Uhr</w:t>
      </w:r>
    </w:p>
    <w:p w:rsidR="00213A51" w:rsidRDefault="00213A51" w:rsidP="0065078F">
      <w:pPr>
        <w:jc w:val="both"/>
      </w:pPr>
      <w:r>
        <w:t>Dienstag:</w:t>
      </w:r>
      <w:r>
        <w:tab/>
        <w:t>09:00 – 12:00 Uhr und 13:00 – 15:30 Uhr</w:t>
      </w:r>
    </w:p>
    <w:p w:rsidR="00213A51" w:rsidRDefault="00213A51" w:rsidP="0065078F">
      <w:pPr>
        <w:jc w:val="both"/>
      </w:pPr>
      <w:r>
        <w:t>Mittwoch:</w:t>
      </w:r>
      <w:r>
        <w:tab/>
        <w:t>09:00 – 12:00 Uhr</w:t>
      </w:r>
    </w:p>
    <w:p w:rsidR="00213A51" w:rsidRDefault="00213A51" w:rsidP="0065078F">
      <w:pPr>
        <w:jc w:val="both"/>
      </w:pPr>
      <w:r>
        <w:t>Donnerstag:</w:t>
      </w:r>
      <w:r>
        <w:tab/>
        <w:t>09:00 – 12:00 Uhr und 13:00 – 15:30 Uhr</w:t>
      </w:r>
    </w:p>
    <w:p w:rsidR="00213A51" w:rsidRDefault="00213A51" w:rsidP="0065078F">
      <w:pPr>
        <w:jc w:val="both"/>
      </w:pPr>
      <w:r>
        <w:t>Freitag:</w:t>
      </w:r>
      <w:r>
        <w:tab/>
        <w:t>09:00 – 12:00 Uhr</w:t>
      </w:r>
    </w:p>
    <w:p w:rsidR="00213A51" w:rsidRDefault="00213A51" w:rsidP="0065078F">
      <w:pPr>
        <w:jc w:val="both"/>
      </w:pPr>
      <w:r>
        <w:t>(Hinweis:</w:t>
      </w:r>
      <w:r>
        <w:tab/>
        <w:t>31. Mai 2019 Betriebsruhe)</w:t>
      </w:r>
    </w:p>
    <w:p w:rsidR="00213A51" w:rsidRDefault="00213A51" w:rsidP="0065078F">
      <w:pPr>
        <w:jc w:val="both"/>
      </w:pPr>
    </w:p>
    <w:p w:rsidR="00213A51" w:rsidRDefault="00213A51" w:rsidP="0065078F">
      <w:pPr>
        <w:jc w:val="both"/>
      </w:pPr>
      <w:r>
        <w:t xml:space="preserve">Stadtverwaltung </w:t>
      </w:r>
      <w:proofErr w:type="spellStart"/>
      <w:r>
        <w:t>Strehla</w:t>
      </w:r>
      <w:proofErr w:type="spellEnd"/>
      <w:r>
        <w:t xml:space="preserve">, Markt 1, 01616 </w:t>
      </w:r>
      <w:proofErr w:type="spellStart"/>
      <w:r>
        <w:t>Strehla</w:t>
      </w:r>
      <w:proofErr w:type="spellEnd"/>
    </w:p>
    <w:p w:rsidR="00213A51" w:rsidRDefault="00C60324" w:rsidP="0065078F">
      <w:pPr>
        <w:jc w:val="both"/>
      </w:pPr>
      <w:r>
        <w:t>w</w:t>
      </w:r>
      <w:r w:rsidR="00213A51">
        <w:t>ährend der Dienststunden</w:t>
      </w:r>
    </w:p>
    <w:p w:rsidR="00213A51" w:rsidRDefault="00213A51" w:rsidP="0065078F">
      <w:pPr>
        <w:jc w:val="both"/>
      </w:pPr>
    </w:p>
    <w:p w:rsidR="00213A51" w:rsidRDefault="00213A51" w:rsidP="0065078F">
      <w:pPr>
        <w:jc w:val="both"/>
      </w:pPr>
      <w:r>
        <w:t xml:space="preserve">Gemeinde </w:t>
      </w:r>
      <w:proofErr w:type="spellStart"/>
      <w:r>
        <w:t>Nünchritz</w:t>
      </w:r>
      <w:proofErr w:type="spellEnd"/>
      <w:r>
        <w:t xml:space="preserve">, </w:t>
      </w:r>
      <w:proofErr w:type="spellStart"/>
      <w:r>
        <w:t>Glaubitzer</w:t>
      </w:r>
      <w:proofErr w:type="spellEnd"/>
      <w:r>
        <w:t xml:space="preserve"> Straße 10, 01612 </w:t>
      </w:r>
      <w:proofErr w:type="spellStart"/>
      <w:r>
        <w:t>Nünchritz</w:t>
      </w:r>
      <w:proofErr w:type="spellEnd"/>
    </w:p>
    <w:p w:rsidR="00213A51" w:rsidRDefault="00C60324" w:rsidP="0065078F">
      <w:pPr>
        <w:jc w:val="both"/>
      </w:pPr>
      <w:r>
        <w:t>w</w:t>
      </w:r>
      <w:r w:rsidR="00213A51">
        <w:t>ährend der Dienststunden</w:t>
      </w:r>
    </w:p>
    <w:p w:rsidR="00213A51" w:rsidRDefault="00213A51" w:rsidP="0065078F">
      <w:pPr>
        <w:jc w:val="both"/>
      </w:pPr>
    </w:p>
    <w:p w:rsidR="00213A51" w:rsidRDefault="00213A51" w:rsidP="0065078F">
      <w:pPr>
        <w:jc w:val="both"/>
      </w:pPr>
      <w:r>
        <w:lastRenderedPageBreak/>
        <w:t xml:space="preserve">Verwaltungsgemeinschaft </w:t>
      </w:r>
      <w:proofErr w:type="spellStart"/>
      <w:r>
        <w:t>Wülknitz</w:t>
      </w:r>
      <w:proofErr w:type="spellEnd"/>
      <w:r>
        <w:t>/</w:t>
      </w:r>
      <w:proofErr w:type="spellStart"/>
      <w:r>
        <w:t>Röderaue</w:t>
      </w:r>
      <w:proofErr w:type="spellEnd"/>
      <w:r>
        <w:t xml:space="preserve">, Bürgerbüro, Bahnhofstraße 21, 01609 </w:t>
      </w:r>
      <w:proofErr w:type="spellStart"/>
      <w:r>
        <w:t>Wü</w:t>
      </w:r>
      <w:r>
        <w:t>l</w:t>
      </w:r>
      <w:r>
        <w:t>knitz</w:t>
      </w:r>
      <w:proofErr w:type="spellEnd"/>
      <w:r>
        <w:t xml:space="preserve"> </w:t>
      </w:r>
    </w:p>
    <w:p w:rsidR="00213A51" w:rsidRDefault="00C60324" w:rsidP="0065078F">
      <w:pPr>
        <w:jc w:val="both"/>
      </w:pPr>
      <w:r>
        <w:t>w</w:t>
      </w:r>
      <w:r w:rsidR="00213A51">
        <w:t>ährend der Dienststunden</w:t>
      </w:r>
    </w:p>
    <w:p w:rsidR="00C60324" w:rsidRDefault="00C60324" w:rsidP="0065078F">
      <w:pPr>
        <w:jc w:val="both"/>
      </w:pPr>
    </w:p>
    <w:p w:rsidR="00C60324" w:rsidRDefault="00C60324" w:rsidP="0065078F">
      <w:pPr>
        <w:jc w:val="both"/>
      </w:pPr>
      <w:r>
        <w:t xml:space="preserve">Gemeindeverwaltung </w:t>
      </w:r>
      <w:proofErr w:type="spellStart"/>
      <w:r>
        <w:t>Glaubitz</w:t>
      </w:r>
      <w:proofErr w:type="spellEnd"/>
      <w:r>
        <w:t xml:space="preserve">, </w:t>
      </w:r>
      <w:proofErr w:type="spellStart"/>
      <w:r>
        <w:t>Reppiser</w:t>
      </w:r>
      <w:proofErr w:type="spellEnd"/>
      <w:r>
        <w:t xml:space="preserve"> Straße 10, 01612 </w:t>
      </w:r>
      <w:proofErr w:type="spellStart"/>
      <w:r>
        <w:t>Glaubitz</w:t>
      </w:r>
      <w:proofErr w:type="spellEnd"/>
    </w:p>
    <w:p w:rsidR="00C60324" w:rsidRDefault="00C60324" w:rsidP="0065078F">
      <w:pPr>
        <w:jc w:val="both"/>
      </w:pPr>
      <w:r>
        <w:t>während der Dienststunden</w:t>
      </w:r>
    </w:p>
    <w:p w:rsidR="00760420" w:rsidRDefault="00760420" w:rsidP="0065078F">
      <w:pPr>
        <w:jc w:val="both"/>
      </w:pPr>
    </w:p>
    <w:p w:rsidR="0065078F" w:rsidRDefault="0065078F" w:rsidP="0065078F">
      <w:pPr>
        <w:jc w:val="both"/>
      </w:pPr>
      <w:r>
        <w:t xml:space="preserve">zur allgemeinen Einsichtnahme aus. </w:t>
      </w:r>
    </w:p>
    <w:p w:rsidR="00AC44EF" w:rsidRDefault="00AC44EF" w:rsidP="00115117">
      <w:pPr>
        <w:jc w:val="both"/>
      </w:pPr>
    </w:p>
    <w:p w:rsidR="008F3415" w:rsidRDefault="008F3415" w:rsidP="00115117">
      <w:pPr>
        <w:jc w:val="both"/>
      </w:pPr>
      <w:r>
        <w:t>Ergänzend wird auf die Mög</w:t>
      </w:r>
      <w:r w:rsidR="008025F7">
        <w:t xml:space="preserve">lichkeit zur Einsichtnahme in die </w:t>
      </w:r>
      <w:r>
        <w:t xml:space="preserve">Planunterlagen </w:t>
      </w:r>
      <w:r w:rsidR="00AC44EF">
        <w:t xml:space="preserve">im Internet </w:t>
      </w:r>
      <w:r>
        <w:t>wä</w:t>
      </w:r>
      <w:r>
        <w:t>h</w:t>
      </w:r>
      <w:r>
        <w:t xml:space="preserve">rend des vorgenannten Zeitraums unter </w:t>
      </w:r>
      <w:hyperlink r:id="rId7" w:history="1">
        <w:r w:rsidR="007609A2" w:rsidRPr="00255EE6">
          <w:rPr>
            <w:rStyle w:val="Hyperlink"/>
          </w:rPr>
          <w:t>www.lds.sachsen.de/bekanntmachungen</w:t>
        </w:r>
      </w:hyperlink>
      <w:r w:rsidR="00D55668">
        <w:t xml:space="preserve">, </w:t>
      </w:r>
      <w:r w:rsidR="008025F7">
        <w:t>Rubrik</w:t>
      </w:r>
      <w:r w:rsidR="007609A2">
        <w:t xml:space="preserve"> Infrastruktur</w:t>
      </w:r>
      <w:r w:rsidR="00AC44EF">
        <w:t xml:space="preserve"> - Energie</w:t>
      </w:r>
      <w:r w:rsidR="00D55668">
        <w:t>,</w:t>
      </w:r>
      <w:r w:rsidR="007609A2">
        <w:t xml:space="preserve"> verwiesen. Nach § 27a Abs.1 Satz 4 </w:t>
      </w:r>
      <w:r w:rsidR="00661BB6">
        <w:t xml:space="preserve">VwVfG </w:t>
      </w:r>
      <w:r w:rsidR="007609A2">
        <w:t>ist der Inhalt der zur Ei</w:t>
      </w:r>
      <w:r w:rsidR="007609A2">
        <w:t>n</w:t>
      </w:r>
      <w:r w:rsidR="007609A2">
        <w:t>sichtnahme ausgelegten Unterlagen maßgeblich.</w:t>
      </w:r>
    </w:p>
    <w:p w:rsidR="007609A2" w:rsidRDefault="007609A2" w:rsidP="00115117">
      <w:pPr>
        <w:jc w:val="both"/>
      </w:pPr>
    </w:p>
    <w:p w:rsidR="00614A31" w:rsidRDefault="007609A2" w:rsidP="00614A31">
      <w:pPr>
        <w:tabs>
          <w:tab w:val="left" w:pos="426"/>
        </w:tabs>
        <w:ind w:left="420" w:hanging="420"/>
        <w:jc w:val="both"/>
      </w:pPr>
      <w:r>
        <w:t xml:space="preserve">1. </w:t>
      </w:r>
      <w:r w:rsidR="008600F6">
        <w:tab/>
      </w:r>
      <w:r>
        <w:t>Jeder</w:t>
      </w:r>
      <w:r w:rsidR="00AC44EF">
        <w:t xml:space="preserve"> </w:t>
      </w:r>
      <w:r>
        <w:t xml:space="preserve">kann bis spätestens </w:t>
      </w:r>
      <w:r w:rsidR="003C3C78">
        <w:t>einen Monat nach Ablauf der Auslegungsfrist</w:t>
      </w:r>
      <w:r w:rsidR="00AC44EF">
        <w:t>, das ist</w:t>
      </w:r>
      <w:r w:rsidR="003C3C78">
        <w:t xml:space="preserve"> bis </w:t>
      </w:r>
      <w:r w:rsidR="00AC44EF">
        <w:t>zum</w:t>
      </w:r>
      <w:r w:rsidR="003C3C78">
        <w:t xml:space="preserve"> </w:t>
      </w:r>
      <w:r w:rsidR="00964B81">
        <w:rPr>
          <w:b/>
        </w:rPr>
        <w:t>6. Juli 2019</w:t>
      </w:r>
      <w:r w:rsidR="003C3C78">
        <w:rPr>
          <w:b/>
        </w:rPr>
        <w:t xml:space="preserve"> </w:t>
      </w:r>
      <w:r>
        <w:t xml:space="preserve">bei der </w:t>
      </w:r>
      <w:r w:rsidR="008B3350">
        <w:t>Landesdirektion Sachsen, 09120 Chemnitz</w:t>
      </w:r>
      <w:r w:rsidR="00614A31">
        <w:t xml:space="preserve">, schriftlich, bei der </w:t>
      </w:r>
      <w:r>
        <w:t>La</w:t>
      </w:r>
      <w:r>
        <w:t>n</w:t>
      </w:r>
      <w:r>
        <w:t xml:space="preserve">desdirektion Sachsen, Dienststelle Dresden, </w:t>
      </w:r>
      <w:proofErr w:type="spellStart"/>
      <w:r>
        <w:t>Stauffenbergallee</w:t>
      </w:r>
      <w:proofErr w:type="spellEnd"/>
      <w:r>
        <w:t xml:space="preserve"> 2, 01099 Dresden oder bei </w:t>
      </w:r>
      <w:r w:rsidR="00964B81">
        <w:t>der oben aufgeführten Gemeinde</w:t>
      </w:r>
      <w:r>
        <w:t xml:space="preserve"> </w:t>
      </w:r>
      <w:r w:rsidR="00FD39EC">
        <w:t xml:space="preserve">schriftlich oder zur Niederschrift </w:t>
      </w:r>
      <w:r>
        <w:t>Einwendungen gegen den Plan erheben</w:t>
      </w:r>
      <w:r w:rsidR="00FD39EC">
        <w:t xml:space="preserve"> bzw. sich äußern</w:t>
      </w:r>
      <w:r>
        <w:t>.</w:t>
      </w:r>
      <w:r w:rsidR="00614A31">
        <w:t xml:space="preserve"> </w:t>
      </w:r>
      <w:r>
        <w:t>Die Einwendung muss den geltend gemac</w:t>
      </w:r>
      <w:r>
        <w:t>h</w:t>
      </w:r>
      <w:r>
        <w:t xml:space="preserve">ten Belang und das Maß seiner Beeinträchtigung erkennen lassen. </w:t>
      </w:r>
    </w:p>
    <w:p w:rsidR="00614A31" w:rsidRDefault="00614A31" w:rsidP="00614A31">
      <w:pPr>
        <w:tabs>
          <w:tab w:val="left" w:pos="426"/>
        </w:tabs>
        <w:ind w:left="420" w:hanging="420"/>
        <w:jc w:val="both"/>
      </w:pPr>
    </w:p>
    <w:p w:rsidR="007609A2" w:rsidRDefault="00614A31" w:rsidP="00614A31">
      <w:pPr>
        <w:tabs>
          <w:tab w:val="left" w:pos="426"/>
        </w:tabs>
        <w:ind w:left="420" w:hanging="420"/>
        <w:jc w:val="both"/>
      </w:pPr>
      <w:r>
        <w:tab/>
      </w:r>
      <w:r w:rsidR="00661BB6">
        <w:t>Mit Ablauf der Äußerungsfrist sind für das Verfahren über die Zulässigkeit des Vorh</w:t>
      </w:r>
      <w:r w:rsidR="00661BB6">
        <w:t>a</w:t>
      </w:r>
      <w:r w:rsidR="00661BB6">
        <w:t>bens alle Äußerungen, die nicht auf besonderen privatrechtlichen Titel beruhen, ausg</w:t>
      </w:r>
      <w:r w:rsidR="00661BB6">
        <w:t>e</w:t>
      </w:r>
      <w:r w:rsidR="00661BB6">
        <w:t>schlossen (§ 21 Abs. 4 UVPG).</w:t>
      </w:r>
      <w:r w:rsidR="00FD39EC">
        <w:t xml:space="preserve"> Die Äußerungsfrist gilt auch für solche Einwendungen, die sich nicht auf die Umweltauswirkungen des Vorhabens beziehen, § 21 Abs. 5 UVPG. </w:t>
      </w:r>
    </w:p>
    <w:p w:rsidR="007609A2" w:rsidRDefault="007609A2" w:rsidP="00115117">
      <w:pPr>
        <w:jc w:val="both"/>
      </w:pPr>
    </w:p>
    <w:p w:rsidR="007609A2" w:rsidRDefault="008600F6" w:rsidP="00115117">
      <w:pPr>
        <w:tabs>
          <w:tab w:val="left" w:pos="426"/>
        </w:tabs>
        <w:jc w:val="both"/>
      </w:pPr>
      <w:r>
        <w:tab/>
      </w:r>
      <w:r w:rsidR="007609A2">
        <w:t>Bei Einwendungen</w:t>
      </w:r>
      <w:r w:rsidR="00FD39EC">
        <w:t xml:space="preserve"> bzw. Äußerungen</w:t>
      </w:r>
      <w:r w:rsidR="007609A2">
        <w:t xml:space="preserve">, die von mehr als 50 Personen auf </w:t>
      </w:r>
      <w:proofErr w:type="spellStart"/>
      <w:r w:rsidR="007609A2">
        <w:t>Unterschriftslis</w:t>
      </w:r>
      <w:proofErr w:type="spellEnd"/>
      <w:r w:rsidR="00867EE1">
        <w:tab/>
      </w:r>
      <w:proofErr w:type="spellStart"/>
      <w:r w:rsidR="007609A2">
        <w:t>ten</w:t>
      </w:r>
      <w:proofErr w:type="spellEnd"/>
      <w:r w:rsidR="007609A2">
        <w:t xml:space="preserve"> unterzeichnet oder in Form vervielfältigter, gleichlautender Texte eingereicht werden </w:t>
      </w:r>
      <w:r w:rsidR="00867EE1">
        <w:tab/>
      </w:r>
      <w:r w:rsidR="007609A2">
        <w:t>(gleich</w:t>
      </w:r>
      <w:r w:rsidR="00867EE1">
        <w:t xml:space="preserve">förmige </w:t>
      </w:r>
      <w:r w:rsidR="007609A2">
        <w:t>Eingaben), ist auf jeder mit einer Unterschrift versehenen Seite ein Unter</w:t>
      </w:r>
      <w:r w:rsidR="00867EE1">
        <w:t>-</w:t>
      </w:r>
      <w:r w:rsidR="00867EE1">
        <w:tab/>
      </w:r>
      <w:proofErr w:type="spellStart"/>
      <w:r w:rsidR="007609A2">
        <w:t>zeichner</w:t>
      </w:r>
      <w:proofErr w:type="spellEnd"/>
      <w:r w:rsidR="007609A2">
        <w:t xml:space="preserve"> mit Namen, Beruf und Anschrift als Vertreter der übrigen Unterzeichner zu </w:t>
      </w:r>
      <w:proofErr w:type="spellStart"/>
      <w:r w:rsidR="007609A2">
        <w:t>be</w:t>
      </w:r>
      <w:proofErr w:type="spellEnd"/>
      <w:r w:rsidR="00867EE1">
        <w:tab/>
      </w:r>
      <w:r w:rsidR="007609A2">
        <w:t>zeichnen. Anderenfalls können diese Einwendungen unberücksichtigt bleiben</w:t>
      </w:r>
      <w:r w:rsidR="00FD39EC">
        <w:t xml:space="preserve"> (§ 17 Abs. </w:t>
      </w:r>
      <w:r w:rsidR="00867EE1">
        <w:tab/>
      </w:r>
      <w:r w:rsidR="00FD39EC">
        <w:t>2 VwVfG)</w:t>
      </w:r>
      <w:r w:rsidR="007609A2">
        <w:t>.</w:t>
      </w:r>
    </w:p>
    <w:p w:rsidR="007609A2" w:rsidRDefault="007609A2" w:rsidP="00115117">
      <w:pPr>
        <w:jc w:val="both"/>
      </w:pPr>
    </w:p>
    <w:p w:rsidR="007609A2" w:rsidRDefault="00C37C4A" w:rsidP="00115117">
      <w:pPr>
        <w:tabs>
          <w:tab w:val="left" w:pos="426"/>
        </w:tabs>
        <w:jc w:val="both"/>
      </w:pPr>
      <w:r>
        <w:tab/>
      </w:r>
      <w:r w:rsidR="007609A2">
        <w:t>Es wird darauf hingewiesen, dass keine Eingangsbestätigung erfolgt.</w:t>
      </w:r>
    </w:p>
    <w:p w:rsidR="007609A2" w:rsidRDefault="007609A2" w:rsidP="00115117">
      <w:pPr>
        <w:jc w:val="both"/>
      </w:pPr>
    </w:p>
    <w:p w:rsidR="007609A2" w:rsidRDefault="007609A2" w:rsidP="008600F6">
      <w:pPr>
        <w:tabs>
          <w:tab w:val="left" w:pos="426"/>
        </w:tabs>
        <w:ind w:left="420" w:hanging="420"/>
        <w:jc w:val="both"/>
      </w:pPr>
      <w:r>
        <w:t xml:space="preserve">2. </w:t>
      </w:r>
      <w:r w:rsidR="00C37C4A">
        <w:tab/>
      </w:r>
      <w:r w:rsidR="0078627C">
        <w:t xml:space="preserve">Diese ortsübliche Bekanntmachung dient auch der Benachrichtigung der anerkannten </w:t>
      </w:r>
      <w:r w:rsidR="00C37C4A">
        <w:tab/>
      </w:r>
      <w:r w:rsidR="0078627C">
        <w:t xml:space="preserve">Vereinigungen nach § 73 Abs. 4 Satz 5 VwVfG in Verbindung mit § 1 Satz 1 </w:t>
      </w:r>
      <w:proofErr w:type="spellStart"/>
      <w:r w:rsidR="0078627C">
        <w:t>VwVfZG</w:t>
      </w:r>
      <w:proofErr w:type="spellEnd"/>
      <w:r w:rsidR="0078627C">
        <w:t xml:space="preserve"> </w:t>
      </w:r>
      <w:r w:rsidR="00C37C4A">
        <w:tab/>
      </w:r>
      <w:r w:rsidR="0078627C">
        <w:t xml:space="preserve">von der Auslegung des Plans. </w:t>
      </w:r>
    </w:p>
    <w:p w:rsidR="0078627C" w:rsidRDefault="0078627C" w:rsidP="00115117">
      <w:pPr>
        <w:jc w:val="both"/>
      </w:pPr>
    </w:p>
    <w:p w:rsidR="0078627C" w:rsidRDefault="0078627C" w:rsidP="00952DCD">
      <w:pPr>
        <w:tabs>
          <w:tab w:val="left" w:pos="426"/>
        </w:tabs>
        <w:ind w:left="420" w:hanging="420"/>
        <w:jc w:val="both"/>
      </w:pPr>
      <w:r>
        <w:t xml:space="preserve">3. </w:t>
      </w:r>
      <w:r w:rsidR="00C37C4A">
        <w:tab/>
      </w:r>
      <w:r w:rsidR="001F617F">
        <w:t>Auf e</w:t>
      </w:r>
      <w:r w:rsidR="00952DCD">
        <w:t>in</w:t>
      </w:r>
      <w:r w:rsidR="001F617F">
        <w:t>en</w:t>
      </w:r>
      <w:r>
        <w:t xml:space="preserve"> Erörterung</w:t>
      </w:r>
      <w:r w:rsidR="00952DCD">
        <w:t xml:space="preserve">stermin </w:t>
      </w:r>
      <w:r w:rsidR="001F617F">
        <w:t>kann</w:t>
      </w:r>
      <w:r w:rsidR="00952DCD">
        <w:t xml:space="preserve"> nach Maßgabe des  </w:t>
      </w:r>
      <w:r>
        <w:t xml:space="preserve">§ 43a Nr. 2 </w:t>
      </w:r>
      <w:r w:rsidR="00952DCD">
        <w:t>Energiewirtschaft</w:t>
      </w:r>
      <w:r w:rsidR="00952DCD">
        <w:t>s</w:t>
      </w:r>
      <w:r w:rsidR="00952DCD">
        <w:t>gesetz (</w:t>
      </w:r>
      <w:r>
        <w:t>EnWG)</w:t>
      </w:r>
      <w:r w:rsidR="00952DCD">
        <w:t xml:space="preserve"> </w:t>
      </w:r>
      <w:r w:rsidR="001F617F">
        <w:t>verzichtet werden</w:t>
      </w:r>
      <w:r w:rsidR="00952DCD">
        <w:t>.</w:t>
      </w:r>
    </w:p>
    <w:p w:rsidR="0078627C" w:rsidRDefault="0078627C" w:rsidP="00115117">
      <w:pPr>
        <w:jc w:val="both"/>
      </w:pPr>
    </w:p>
    <w:p w:rsidR="0078627C" w:rsidRDefault="00C37C4A" w:rsidP="00115117">
      <w:pPr>
        <w:tabs>
          <w:tab w:val="left" w:pos="426"/>
        </w:tabs>
        <w:jc w:val="both"/>
      </w:pPr>
      <w:r>
        <w:tab/>
      </w:r>
      <w:r w:rsidR="0078627C">
        <w:t>Findet ein Erörterungste</w:t>
      </w:r>
      <w:r w:rsidR="00DE1AC3">
        <w:t>r</w:t>
      </w:r>
      <w:r w:rsidR="0078627C">
        <w:t>min statt, wird er ortsüblich bekannt gemacht.</w:t>
      </w:r>
    </w:p>
    <w:p w:rsidR="0078627C" w:rsidRDefault="0078627C" w:rsidP="00115117">
      <w:pPr>
        <w:jc w:val="both"/>
      </w:pPr>
    </w:p>
    <w:p w:rsidR="0078627C" w:rsidRDefault="00C37C4A" w:rsidP="00115117">
      <w:pPr>
        <w:tabs>
          <w:tab w:val="left" w:pos="426"/>
        </w:tabs>
        <w:jc w:val="both"/>
      </w:pPr>
      <w:r>
        <w:tab/>
      </w:r>
      <w:r w:rsidR="0078627C">
        <w:t xml:space="preserve">Ferner werden diejenigen, die rechtzeitig Einwendungen erhoben haben, von dem </w:t>
      </w:r>
      <w:r>
        <w:tab/>
      </w:r>
      <w:r w:rsidR="0078627C">
        <w:t>Ter</w:t>
      </w:r>
      <w:r w:rsidR="00115117">
        <w:t>-</w:t>
      </w:r>
      <w:r w:rsidR="00115117">
        <w:tab/>
      </w:r>
      <w:r w:rsidR="0078627C">
        <w:t xml:space="preserve">min gesondert benachrichtigt. Bei gleichförmigen Einwendungen gilt diese Regelung </w:t>
      </w:r>
      <w:r>
        <w:tab/>
      </w:r>
      <w:r w:rsidR="0078627C">
        <w:t xml:space="preserve">für den Vertreter (§ 17 VwVfG in Verbindung mit § 1 Satz 1 </w:t>
      </w:r>
      <w:proofErr w:type="spellStart"/>
      <w:r w:rsidR="0078627C">
        <w:t>SächsVwVfZG</w:t>
      </w:r>
      <w:proofErr w:type="spellEnd"/>
      <w:r w:rsidR="0078627C">
        <w:t>).</w:t>
      </w:r>
    </w:p>
    <w:p w:rsidR="00DE1AC3" w:rsidRDefault="00DE1AC3" w:rsidP="00115117">
      <w:pPr>
        <w:jc w:val="both"/>
      </w:pPr>
    </w:p>
    <w:p w:rsidR="00DE1AC3" w:rsidRDefault="00C37C4A" w:rsidP="00115117">
      <w:pPr>
        <w:tabs>
          <w:tab w:val="left" w:pos="426"/>
        </w:tabs>
        <w:jc w:val="both"/>
      </w:pPr>
      <w:r>
        <w:tab/>
      </w:r>
      <w:r w:rsidR="00DE1AC3">
        <w:t xml:space="preserve">Sind mehr als 50 Benachrichtigungen vorzunehmen, so können sie durch öffentliche </w:t>
      </w:r>
      <w:r>
        <w:tab/>
      </w:r>
      <w:r w:rsidR="00DE1AC3">
        <w:t>Bekanntmachung ersetzt werden.</w:t>
      </w:r>
    </w:p>
    <w:p w:rsidR="00DE1AC3" w:rsidRDefault="00DE1AC3" w:rsidP="00115117">
      <w:pPr>
        <w:jc w:val="both"/>
      </w:pPr>
    </w:p>
    <w:p w:rsidR="00DE1AC3" w:rsidRDefault="00C37C4A" w:rsidP="00115117">
      <w:pPr>
        <w:tabs>
          <w:tab w:val="left" w:pos="426"/>
        </w:tabs>
        <w:jc w:val="both"/>
      </w:pPr>
      <w:r>
        <w:tab/>
      </w:r>
      <w:r w:rsidR="00DE1AC3">
        <w:t xml:space="preserve">Die Vertretung durch einen Bevollmächtigten ist möglich. Die Bevollmächtigung ist durch </w:t>
      </w:r>
      <w:r>
        <w:tab/>
      </w:r>
      <w:r w:rsidR="00DE1AC3">
        <w:t xml:space="preserve">eine schriftliche Vollmacht nachzuweisen, die zu den Akten der Anhörungsbehörde zu </w:t>
      </w:r>
      <w:r>
        <w:tab/>
      </w:r>
      <w:r w:rsidR="00DE1AC3">
        <w:t xml:space="preserve">geben ist. Bei Ausbleiben eines Beteiligten in dem Erörterungstermin kann auch ohne </w:t>
      </w:r>
      <w:r>
        <w:lastRenderedPageBreak/>
        <w:tab/>
      </w:r>
      <w:r w:rsidR="00DE1AC3">
        <w:t xml:space="preserve">ihn verhandelt werden. Das Anhörungsverfahren ist mit Abschluss des </w:t>
      </w:r>
      <w:proofErr w:type="spellStart"/>
      <w:r w:rsidR="00DE1AC3">
        <w:t>Erörterungster</w:t>
      </w:r>
      <w:proofErr w:type="spellEnd"/>
      <w:r w:rsidR="00115117">
        <w:t>-</w:t>
      </w:r>
      <w:r w:rsidR="00115117">
        <w:tab/>
      </w:r>
      <w:proofErr w:type="spellStart"/>
      <w:r w:rsidR="00DE1AC3">
        <w:t>mins</w:t>
      </w:r>
      <w:proofErr w:type="spellEnd"/>
      <w:r w:rsidR="00DE1AC3">
        <w:t xml:space="preserve"> beendet.</w:t>
      </w:r>
    </w:p>
    <w:p w:rsidR="00DE1AC3" w:rsidRDefault="00DE1AC3" w:rsidP="00115117">
      <w:pPr>
        <w:jc w:val="both"/>
      </w:pPr>
    </w:p>
    <w:p w:rsidR="00DE1AC3" w:rsidRDefault="00C37C4A" w:rsidP="00115117">
      <w:pPr>
        <w:tabs>
          <w:tab w:val="left" w:pos="426"/>
        </w:tabs>
        <w:jc w:val="both"/>
      </w:pPr>
      <w:r>
        <w:tab/>
      </w:r>
      <w:r w:rsidR="00DE1AC3">
        <w:t>Der Erörterungstermin ist nicht öffentlich.</w:t>
      </w:r>
    </w:p>
    <w:p w:rsidR="00DE1AC3" w:rsidRDefault="00DE1AC3" w:rsidP="00115117">
      <w:pPr>
        <w:jc w:val="both"/>
      </w:pPr>
    </w:p>
    <w:p w:rsidR="00DE1AC3" w:rsidRDefault="00DE1AC3" w:rsidP="00115117">
      <w:pPr>
        <w:tabs>
          <w:tab w:val="left" w:pos="426"/>
        </w:tabs>
        <w:jc w:val="both"/>
      </w:pPr>
      <w:r>
        <w:t xml:space="preserve">4. </w:t>
      </w:r>
      <w:r w:rsidR="00C37C4A">
        <w:tab/>
      </w:r>
      <w:r>
        <w:t xml:space="preserve">Durch Einsichtnahme in die Planunterlagen, Erhebung von Einwendungen, </w:t>
      </w:r>
      <w:r w:rsidR="00FD39EC">
        <w:t xml:space="preserve">Vorbringen </w:t>
      </w:r>
      <w:r w:rsidR="00FD39EC">
        <w:tab/>
        <w:t xml:space="preserve">von Äußerungen oder </w:t>
      </w:r>
      <w:r>
        <w:t xml:space="preserve">Abgabe von </w:t>
      </w:r>
      <w:r w:rsidR="00C37C4A">
        <w:tab/>
      </w:r>
      <w:r>
        <w:t xml:space="preserve">Stellungnahmen, Teilnahme am </w:t>
      </w:r>
      <w:proofErr w:type="spellStart"/>
      <w:r>
        <w:t>Erörterungster</w:t>
      </w:r>
      <w:proofErr w:type="spellEnd"/>
      <w:r w:rsidR="00867EE1">
        <w:t>-</w:t>
      </w:r>
      <w:r w:rsidR="00FD39EC">
        <w:tab/>
      </w:r>
      <w:r>
        <w:t>min oder Vertreterbestellung entstehende Kosten werden nicht erstattet.</w:t>
      </w:r>
    </w:p>
    <w:p w:rsidR="00DE1AC3" w:rsidRDefault="00DE1AC3" w:rsidP="00115117">
      <w:pPr>
        <w:jc w:val="both"/>
      </w:pPr>
    </w:p>
    <w:p w:rsidR="00DE1AC3" w:rsidRDefault="00DE1AC3" w:rsidP="00115117">
      <w:pPr>
        <w:tabs>
          <w:tab w:val="left" w:pos="426"/>
        </w:tabs>
        <w:jc w:val="both"/>
      </w:pPr>
      <w:r>
        <w:t xml:space="preserve">5. </w:t>
      </w:r>
      <w:r w:rsidR="00C37C4A">
        <w:tab/>
      </w:r>
      <w:r>
        <w:t xml:space="preserve">Entschädigungsansprüche, soweit über sie nicht in der Planfeststellung dem Grunde </w:t>
      </w:r>
      <w:r w:rsidR="00C37C4A">
        <w:tab/>
      </w:r>
      <w:r>
        <w:t xml:space="preserve">nach zu entscheiden ist, werden nicht in dem Erörterungstermin, sondern in einem </w:t>
      </w:r>
      <w:r w:rsidR="00C37C4A">
        <w:tab/>
      </w:r>
      <w:r>
        <w:t>gesonderten Entschädigungsverfahren behandelt.</w:t>
      </w:r>
    </w:p>
    <w:p w:rsidR="00DE1AC3" w:rsidRDefault="00DE1AC3" w:rsidP="00115117">
      <w:pPr>
        <w:jc w:val="both"/>
      </w:pPr>
    </w:p>
    <w:p w:rsidR="00DE1AC3" w:rsidRDefault="00DE1AC3" w:rsidP="00952DCD">
      <w:pPr>
        <w:tabs>
          <w:tab w:val="left" w:pos="426"/>
        </w:tabs>
        <w:ind w:left="420" w:hanging="420"/>
        <w:jc w:val="both"/>
      </w:pPr>
      <w:r>
        <w:t xml:space="preserve">6. </w:t>
      </w:r>
      <w:r w:rsidR="00C37C4A">
        <w:tab/>
      </w:r>
      <w:r w:rsidR="00661BB6">
        <w:t>Über die</w:t>
      </w:r>
      <w:r w:rsidR="00FD39EC">
        <w:t xml:space="preserve"> Äußerungen,</w:t>
      </w:r>
      <w:r w:rsidR="00661BB6">
        <w:t xml:space="preserve"> Einwendungen und</w:t>
      </w:r>
      <w:r>
        <w:t xml:space="preserve"> Stellungnahmen wird nach Abschluss des Anhörungsverfahrens durch die </w:t>
      </w:r>
      <w:r w:rsidR="00952DCD">
        <w:t>Planfeststellungsbehörde (</w:t>
      </w:r>
      <w:r w:rsidR="009F3B6C">
        <w:t>Landesdirektion Sachsen</w:t>
      </w:r>
      <w:r w:rsidR="00952DCD">
        <w:t>)</w:t>
      </w:r>
      <w:r>
        <w:t xml:space="preserve"> entschieden. Die </w:t>
      </w:r>
      <w:r w:rsidR="00115117">
        <w:tab/>
      </w:r>
      <w:r>
        <w:t xml:space="preserve">Zustellung der Entscheidung (Planfeststellungsbeschluss) an die </w:t>
      </w:r>
      <w:proofErr w:type="spellStart"/>
      <w:r>
        <w:t>Ei</w:t>
      </w:r>
      <w:r>
        <w:t>n</w:t>
      </w:r>
      <w:r>
        <w:t>wender</w:t>
      </w:r>
      <w:proofErr w:type="spellEnd"/>
      <w:r w:rsidR="00952DCD">
        <w:t xml:space="preserve"> und diejenigen, die eine Stellungnahme abgegeben haben</w:t>
      </w:r>
      <w:r w:rsidR="00FD39EC">
        <w:t xml:space="preserve"> oder sich geäußert haben</w:t>
      </w:r>
      <w:r w:rsidR="00952DCD">
        <w:t>,</w:t>
      </w:r>
      <w:r>
        <w:t xml:space="preserve"> kann durch öffentliche Bekanntmachung ersetzt werden, wenn mehr als 50 Z</w:t>
      </w:r>
      <w:r>
        <w:t>u</w:t>
      </w:r>
      <w:r>
        <w:t>stellungen vorzunehmen sind.</w:t>
      </w:r>
    </w:p>
    <w:p w:rsidR="00DE1AC3" w:rsidRDefault="00DE1AC3" w:rsidP="00115117">
      <w:pPr>
        <w:jc w:val="both"/>
      </w:pPr>
    </w:p>
    <w:p w:rsidR="00DE1AC3" w:rsidRDefault="00DE1AC3" w:rsidP="00115117">
      <w:pPr>
        <w:tabs>
          <w:tab w:val="left" w:pos="426"/>
        </w:tabs>
        <w:jc w:val="both"/>
      </w:pPr>
      <w:r>
        <w:t xml:space="preserve">7. </w:t>
      </w:r>
      <w:r w:rsidR="00C37C4A">
        <w:tab/>
      </w:r>
      <w:r>
        <w:t xml:space="preserve">Vom Beginn der Auslegung des Plans tritt die Veränderungssperre nach § 44a EnWG in </w:t>
      </w:r>
      <w:r w:rsidR="00C37C4A">
        <w:tab/>
      </w:r>
      <w:r>
        <w:t>Kraft. Darüber hinaus steht ab dem Zeitpunkt dem Träger des Vorhabens ein Vorkaufs</w:t>
      </w:r>
      <w:r w:rsidR="00115117">
        <w:t>-</w:t>
      </w:r>
      <w:r w:rsidR="00115117">
        <w:tab/>
      </w:r>
      <w:r>
        <w:t>recht an den vom Plan betroffenen Flächen zu (§ 44a Abs. 3 EnWG).</w:t>
      </w:r>
    </w:p>
    <w:p w:rsidR="00C37C4A" w:rsidRDefault="00C37C4A" w:rsidP="00543DB1"/>
    <w:p w:rsidR="00261BB9" w:rsidRDefault="00FD39EC" w:rsidP="00543DB1">
      <w:r>
        <w:t>Bei der Abgabe von Stellungnahmen und Äußerungen oder der Erhebung von Einwendu</w:t>
      </w:r>
      <w:r>
        <w:t>n</w:t>
      </w:r>
      <w:r>
        <w:t>gen seitens der Beteiligten werden zum Zwecke der Durchführung dieses Planfeststellung</w:t>
      </w:r>
      <w:r>
        <w:t>s</w:t>
      </w:r>
      <w:r>
        <w:t>verfahrens Daten erhoben. Diese Daten werden von der Landesdirektion Sachsen in Erfü</w:t>
      </w:r>
      <w:r>
        <w:t>l</w:t>
      </w:r>
      <w:r>
        <w:t>lung ihrer Aufgaben gemäß den geltenden Bestimmungen zum Datenschutz verarbeitet. Die entsprechenden datenschutzrechtlichen Informationen nach Art. 13 Abs. 1 und 2 sowie Art. 14 Abs. 1 und 2 Datenschutz-Grundverordnung (DSGVO) sind unter https://www.lds.sachsen.de/Datenschutz einsehbar.</w:t>
      </w:r>
    </w:p>
    <w:p w:rsidR="00393506" w:rsidRDefault="00393506" w:rsidP="00543DB1"/>
    <w:p w:rsidR="00393506" w:rsidRDefault="00393506" w:rsidP="00543DB1"/>
    <w:p w:rsidR="00393506" w:rsidRDefault="00393506" w:rsidP="00543DB1"/>
    <w:p w:rsidR="00C37C4A" w:rsidRDefault="00C37C4A" w:rsidP="00543DB1">
      <w:r>
        <w:t xml:space="preserve"> </w:t>
      </w:r>
    </w:p>
    <w:sectPr w:rsidR="00C37C4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5D"/>
    <w:rsid w:val="000526BC"/>
    <w:rsid w:val="0008600E"/>
    <w:rsid w:val="000B255B"/>
    <w:rsid w:val="000D175D"/>
    <w:rsid w:val="000E57F2"/>
    <w:rsid w:val="00115117"/>
    <w:rsid w:val="001A14FD"/>
    <w:rsid w:val="001F617F"/>
    <w:rsid w:val="002075F6"/>
    <w:rsid w:val="00213A51"/>
    <w:rsid w:val="0025469F"/>
    <w:rsid w:val="002558F3"/>
    <w:rsid w:val="00261BB9"/>
    <w:rsid w:val="00282982"/>
    <w:rsid w:val="002B67F5"/>
    <w:rsid w:val="002D39B6"/>
    <w:rsid w:val="00371367"/>
    <w:rsid w:val="00393506"/>
    <w:rsid w:val="00394F41"/>
    <w:rsid w:val="003A682E"/>
    <w:rsid w:val="003C3C78"/>
    <w:rsid w:val="00482C21"/>
    <w:rsid w:val="00487C2E"/>
    <w:rsid w:val="004A22DE"/>
    <w:rsid w:val="004B71FB"/>
    <w:rsid w:val="00543DB1"/>
    <w:rsid w:val="005A775C"/>
    <w:rsid w:val="005B5A3D"/>
    <w:rsid w:val="00614A31"/>
    <w:rsid w:val="0065078F"/>
    <w:rsid w:val="00661BB6"/>
    <w:rsid w:val="00760420"/>
    <w:rsid w:val="007609A2"/>
    <w:rsid w:val="00773AE5"/>
    <w:rsid w:val="0078627C"/>
    <w:rsid w:val="007E463C"/>
    <w:rsid w:val="007E5762"/>
    <w:rsid w:val="008025F7"/>
    <w:rsid w:val="008600F6"/>
    <w:rsid w:val="00867EE1"/>
    <w:rsid w:val="008B3350"/>
    <w:rsid w:val="008F3415"/>
    <w:rsid w:val="00931084"/>
    <w:rsid w:val="00952DCD"/>
    <w:rsid w:val="00964B81"/>
    <w:rsid w:val="009D799C"/>
    <w:rsid w:val="009F3B6C"/>
    <w:rsid w:val="00A15424"/>
    <w:rsid w:val="00A23597"/>
    <w:rsid w:val="00AA5102"/>
    <w:rsid w:val="00AB2253"/>
    <w:rsid w:val="00AC44EF"/>
    <w:rsid w:val="00AF3E72"/>
    <w:rsid w:val="00B04801"/>
    <w:rsid w:val="00B86E54"/>
    <w:rsid w:val="00C37C4A"/>
    <w:rsid w:val="00C60324"/>
    <w:rsid w:val="00C94AAD"/>
    <w:rsid w:val="00CC1106"/>
    <w:rsid w:val="00CF260C"/>
    <w:rsid w:val="00D076C6"/>
    <w:rsid w:val="00D529F4"/>
    <w:rsid w:val="00D55668"/>
    <w:rsid w:val="00DE1AC3"/>
    <w:rsid w:val="00DE6199"/>
    <w:rsid w:val="00DF2AEC"/>
    <w:rsid w:val="00E157BB"/>
    <w:rsid w:val="00E2052A"/>
    <w:rsid w:val="00E74573"/>
    <w:rsid w:val="00E979A3"/>
    <w:rsid w:val="00F74C2B"/>
    <w:rsid w:val="00F96652"/>
    <w:rsid w:val="00FA3ED6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rPr>
      <w:rFonts w:cs="Courier New"/>
      <w:sz w:val="20"/>
    </w:rPr>
  </w:style>
  <w:style w:type="paragraph" w:styleId="StandardWeb">
    <w:name w:val="Normal (Web)"/>
    <w:basedOn w:val="Standard"/>
    <w:rsid w:val="00543DB1"/>
    <w:rPr>
      <w:szCs w:val="24"/>
    </w:r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prechblasentext">
    <w:name w:val="Balloon Text"/>
    <w:basedOn w:val="Standard"/>
    <w:link w:val="SprechblasentextZchn"/>
    <w:rsid w:val="004A22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2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rPr>
      <w:rFonts w:cs="Courier New"/>
      <w:sz w:val="20"/>
    </w:rPr>
  </w:style>
  <w:style w:type="paragraph" w:styleId="StandardWeb">
    <w:name w:val="Normal (Web)"/>
    <w:basedOn w:val="Standard"/>
    <w:rsid w:val="00543DB1"/>
    <w:rPr>
      <w:szCs w:val="24"/>
    </w:r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prechblasentext">
    <w:name w:val="Balloon Text"/>
    <w:basedOn w:val="Standard"/>
    <w:link w:val="SprechblasentextZchn"/>
    <w:rsid w:val="004A22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ds.sachsen.de/bekanntmachung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8375-F157-4B6E-AF7E-94D59B0A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8209</CharactersWithSpaces>
  <SharedDoc>false</SharedDoc>
  <HLinks>
    <vt:vector size="6" baseType="variant"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http://www.lds.sachsen.de/bekanntmachungen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Storch, Sabine - LDS</dc:creator>
  <cp:lastModifiedBy>Storch, Sabine - LDS</cp:lastModifiedBy>
  <cp:revision>7</cp:revision>
  <cp:lastPrinted>2017-10-12T10:30:00Z</cp:lastPrinted>
  <dcterms:created xsi:type="dcterms:W3CDTF">2019-03-26T14:51:00Z</dcterms:created>
  <dcterms:modified xsi:type="dcterms:W3CDTF">2019-05-06T07:29:00Z</dcterms:modified>
</cp:coreProperties>
</file>