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A3" w:rsidRDefault="006175A3">
      <w:pPr>
        <w:jc w:val="center"/>
        <w:rPr>
          <w:b/>
          <w:szCs w:val="24"/>
        </w:rPr>
      </w:pPr>
    </w:p>
    <w:p w:rsidR="006175A3" w:rsidRPr="006B0AF6" w:rsidRDefault="006175A3">
      <w:pPr>
        <w:jc w:val="center"/>
        <w:rPr>
          <w:b/>
          <w:szCs w:val="24"/>
        </w:rPr>
      </w:pPr>
    </w:p>
    <w:p w:rsidR="006175A3" w:rsidRDefault="006175A3">
      <w:pPr>
        <w:jc w:val="center"/>
        <w:rPr>
          <w:b/>
          <w:sz w:val="28"/>
        </w:rPr>
      </w:pPr>
      <w:r>
        <w:rPr>
          <w:b/>
          <w:sz w:val="28"/>
        </w:rPr>
        <w:t>Bekanntmachung</w:t>
      </w:r>
    </w:p>
    <w:p w:rsidR="006175A3" w:rsidRDefault="006175A3">
      <w:pPr>
        <w:jc w:val="center"/>
        <w:rPr>
          <w:szCs w:val="24"/>
        </w:rPr>
      </w:pPr>
    </w:p>
    <w:p w:rsidR="006175A3" w:rsidRPr="006B0AF6" w:rsidRDefault="006175A3">
      <w:pPr>
        <w:jc w:val="center"/>
        <w:rPr>
          <w:szCs w:val="24"/>
        </w:rPr>
      </w:pPr>
    </w:p>
    <w:p w:rsidR="006175A3" w:rsidRPr="006B0AF6" w:rsidRDefault="006175A3">
      <w:pPr>
        <w:jc w:val="center"/>
        <w:rPr>
          <w:szCs w:val="24"/>
        </w:rPr>
      </w:pPr>
      <w:r w:rsidRPr="006B0AF6">
        <w:rPr>
          <w:szCs w:val="24"/>
        </w:rPr>
        <w:t>zur Erteilung einer gehobenen wasserrechtlichen Erlaubnis</w:t>
      </w:r>
    </w:p>
    <w:p w:rsidR="006175A3" w:rsidRPr="006B0AF6" w:rsidRDefault="006175A3">
      <w:pPr>
        <w:jc w:val="center"/>
        <w:rPr>
          <w:szCs w:val="24"/>
        </w:rPr>
      </w:pPr>
      <w:r w:rsidRPr="006B0AF6">
        <w:rPr>
          <w:szCs w:val="24"/>
        </w:rPr>
        <w:t>(Anhörungsverfahren)</w:t>
      </w:r>
    </w:p>
    <w:p w:rsidR="006175A3" w:rsidRDefault="006175A3" w:rsidP="006B0AF6">
      <w:pPr>
        <w:spacing w:line="276" w:lineRule="auto"/>
        <w:rPr>
          <w:szCs w:val="24"/>
        </w:rPr>
      </w:pPr>
    </w:p>
    <w:p w:rsidR="006175A3" w:rsidRPr="006B0AF6" w:rsidRDefault="006175A3" w:rsidP="006B0AF6">
      <w:pPr>
        <w:spacing w:line="276" w:lineRule="auto"/>
        <w:rPr>
          <w:szCs w:val="24"/>
        </w:rPr>
      </w:pPr>
    </w:p>
    <w:p w:rsidR="006175A3" w:rsidRPr="006B0AF6" w:rsidRDefault="006175A3" w:rsidP="006B0AF6">
      <w:pPr>
        <w:spacing w:line="276" w:lineRule="auto"/>
        <w:rPr>
          <w:szCs w:val="24"/>
        </w:rPr>
      </w:pPr>
    </w:p>
    <w:p w:rsidR="006175A3" w:rsidRPr="006B0AF6" w:rsidRDefault="00C51D71" w:rsidP="006175A3">
      <w:pPr>
        <w:widowControl/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rPr>
          <w:szCs w:val="24"/>
        </w:rPr>
      </w:pPr>
      <w:r>
        <w:rPr>
          <w:szCs w:val="24"/>
        </w:rPr>
        <w:t>Die</w:t>
      </w:r>
      <w:r w:rsidR="00964B77">
        <w:rPr>
          <w:szCs w:val="24"/>
        </w:rPr>
        <w:t xml:space="preserve"> </w:t>
      </w:r>
      <w:r w:rsidR="00F36E3A">
        <w:rPr>
          <w:szCs w:val="24"/>
        </w:rPr>
        <w:t>Stadtwerke Andernach</w:t>
      </w:r>
      <w:r w:rsidR="00964B77">
        <w:rPr>
          <w:szCs w:val="24"/>
        </w:rPr>
        <w:t xml:space="preserve"> </w:t>
      </w:r>
      <w:r w:rsidR="000C5833">
        <w:rPr>
          <w:szCs w:val="24"/>
        </w:rPr>
        <w:t>ha</w:t>
      </w:r>
      <w:r>
        <w:rPr>
          <w:szCs w:val="24"/>
        </w:rPr>
        <w:t>ben</w:t>
      </w:r>
      <w:r w:rsidR="006175A3" w:rsidRPr="006B0AF6">
        <w:rPr>
          <w:szCs w:val="24"/>
        </w:rPr>
        <w:t xml:space="preserve"> bei der Struktur- und Genehmigung</w:t>
      </w:r>
      <w:r w:rsidR="006175A3">
        <w:rPr>
          <w:szCs w:val="24"/>
        </w:rPr>
        <w:t>sdirektion Nord die gehobene Er</w:t>
      </w:r>
      <w:r w:rsidR="006175A3" w:rsidRPr="006B0AF6">
        <w:rPr>
          <w:szCs w:val="24"/>
        </w:rPr>
        <w:t>laubnis beantragt, entsprechend den vorgelegten und geprüft</w:t>
      </w:r>
      <w:r w:rsidR="000C5833">
        <w:rPr>
          <w:szCs w:val="24"/>
        </w:rPr>
        <w:t>en Antrags- und Planunterlagen, Grundwasser zum Zweck der öffentlichen Trinkwasserversorgung zu entnehmen.</w:t>
      </w:r>
      <w:r w:rsidR="006175A3" w:rsidRPr="006B0AF6">
        <w:rPr>
          <w:szCs w:val="24"/>
        </w:rPr>
        <w:br/>
      </w:r>
      <w:r w:rsidR="006175A3" w:rsidRPr="006B0AF6">
        <w:rPr>
          <w:szCs w:val="24"/>
        </w:rPr>
        <w:br/>
        <w:t>Die beantragte Gewässerbenutzung soll die Entnahme von Grundwasser wie folgt zulassen:</w:t>
      </w:r>
    </w:p>
    <w:p w:rsidR="006175A3" w:rsidRPr="006B0AF6" w:rsidRDefault="006175A3" w:rsidP="006B0AF6">
      <w:pPr>
        <w:pStyle w:val="Num"/>
        <w:spacing w:line="360" w:lineRule="exact"/>
        <w:ind w:left="284" w:firstLine="0"/>
        <w:rPr>
          <w:sz w:val="24"/>
          <w:szCs w:val="24"/>
        </w:rPr>
      </w:pPr>
    </w:p>
    <w:tbl>
      <w:tblPr>
        <w:tblW w:w="900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4"/>
        <w:gridCol w:w="1276"/>
        <w:gridCol w:w="1134"/>
        <w:gridCol w:w="1134"/>
        <w:gridCol w:w="567"/>
        <w:gridCol w:w="992"/>
        <w:gridCol w:w="1134"/>
        <w:gridCol w:w="1204"/>
      </w:tblGrid>
      <w:tr w:rsidR="006175A3" w:rsidTr="00AE5D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5A3" w:rsidRDefault="006175A3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lfd.</w:t>
            </w:r>
          </w:p>
          <w:p w:rsidR="006175A3" w:rsidRDefault="006175A3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5A3" w:rsidRDefault="006175A3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Entnahmeart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5A3" w:rsidRDefault="006175A3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5A3" w:rsidRDefault="006175A3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Gemeinde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5A3" w:rsidRDefault="006175A3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Bezeichnung aus dem katasteramtlichen Lageplan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5A3" w:rsidRDefault="006175A3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UTM32-Ost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5A3" w:rsidRDefault="006175A3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UTM32-Nord</w:t>
            </w:r>
          </w:p>
        </w:tc>
      </w:tr>
      <w:tr w:rsidR="006175A3" w:rsidTr="00AE5DC2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A3" w:rsidRDefault="006175A3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A3" w:rsidRDefault="006175A3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A3" w:rsidRDefault="006175A3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A3" w:rsidRDefault="006175A3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A3" w:rsidRDefault="006175A3">
            <w:pPr>
              <w:rPr>
                <w:sz w:val="16"/>
              </w:rPr>
            </w:pPr>
            <w:r>
              <w:rPr>
                <w:sz w:val="16"/>
              </w:rPr>
              <w:t>Gemarkung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A3" w:rsidRDefault="006175A3">
            <w:pPr>
              <w:rPr>
                <w:sz w:val="16"/>
              </w:rPr>
            </w:pPr>
            <w:r>
              <w:rPr>
                <w:sz w:val="16"/>
              </w:rPr>
              <w:t>Flur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A3" w:rsidRDefault="006175A3">
            <w:pPr>
              <w:rPr>
                <w:sz w:val="16"/>
              </w:rPr>
            </w:pPr>
            <w:r>
              <w:rPr>
                <w:sz w:val="16"/>
              </w:rPr>
              <w:t>Flurstück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A3" w:rsidRDefault="006175A3">
            <w:pPr>
              <w:rPr>
                <w:sz w:val="16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A3" w:rsidRDefault="006175A3">
            <w:pPr>
              <w:rPr>
                <w:sz w:val="16"/>
              </w:rPr>
            </w:pPr>
          </w:p>
        </w:tc>
      </w:tr>
      <w:tr w:rsidR="00C51D71" w:rsidRPr="00C51D71" w:rsidTr="00E44DAF">
        <w:trPr>
          <w:trHeight w:val="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71" w:rsidRPr="00C51D71" w:rsidRDefault="00C51D71" w:rsidP="00C51D71">
            <w:pPr>
              <w:rPr>
                <w:b/>
                <w:sz w:val="18"/>
                <w:szCs w:val="18"/>
              </w:rPr>
            </w:pPr>
            <w:r w:rsidRPr="00C51D71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71" w:rsidRPr="00C51D71" w:rsidRDefault="00C51D71" w:rsidP="00C51D71">
            <w:pPr>
              <w:pStyle w:val="Fuzeile"/>
              <w:tabs>
                <w:tab w:val="left" w:pos="708"/>
              </w:tabs>
              <w:rPr>
                <w:b/>
                <w:sz w:val="18"/>
                <w:szCs w:val="18"/>
              </w:rPr>
            </w:pPr>
            <w:r w:rsidRPr="00C51D71">
              <w:rPr>
                <w:b/>
                <w:sz w:val="18"/>
                <w:szCs w:val="18"/>
              </w:rPr>
              <w:t>Brunnen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71" w:rsidRPr="00C51D71" w:rsidRDefault="00AA22D8" w:rsidP="00AA22D8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Brunnen 1a Eich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71" w:rsidRPr="00C51D71" w:rsidRDefault="00AA22D8" w:rsidP="00C51D71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Andernach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71" w:rsidRPr="00C51D71" w:rsidRDefault="00AA22D8" w:rsidP="00C51D71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Eich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71" w:rsidRPr="00C51D71" w:rsidRDefault="00C51D71" w:rsidP="00C51D71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C51D71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71" w:rsidRPr="00C51D71" w:rsidRDefault="00AA22D8" w:rsidP="00C51D71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524/3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71" w:rsidRPr="00C51D71" w:rsidRDefault="00AA22D8" w:rsidP="00C51D71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383 018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71" w:rsidRPr="00C51D71" w:rsidRDefault="00AA22D8" w:rsidP="00C51D71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424F9D">
              <w:rPr>
                <w:rFonts w:cs="Arial"/>
                <w:b/>
                <w:sz w:val="18"/>
                <w:szCs w:val="18"/>
              </w:rPr>
              <w:t xml:space="preserve">5 </w:t>
            </w:r>
            <w:r>
              <w:rPr>
                <w:rFonts w:cs="Arial"/>
                <w:b/>
                <w:sz w:val="18"/>
                <w:szCs w:val="18"/>
              </w:rPr>
              <w:t>588 043</w:t>
            </w:r>
          </w:p>
        </w:tc>
      </w:tr>
      <w:tr w:rsidR="00C51D71" w:rsidRPr="00C51D71" w:rsidTr="00E44DAF">
        <w:trPr>
          <w:trHeight w:val="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71" w:rsidRPr="00C51D71" w:rsidRDefault="00C51D71" w:rsidP="00C51D71">
            <w:pPr>
              <w:rPr>
                <w:b/>
                <w:sz w:val="18"/>
                <w:szCs w:val="18"/>
              </w:rPr>
            </w:pPr>
            <w:r w:rsidRPr="00C51D71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71" w:rsidRPr="00C51D71" w:rsidRDefault="00C51D71" w:rsidP="00C51D71">
            <w:pPr>
              <w:pStyle w:val="Fuzeile"/>
              <w:tabs>
                <w:tab w:val="left" w:pos="708"/>
              </w:tabs>
              <w:rPr>
                <w:b/>
                <w:sz w:val="18"/>
                <w:szCs w:val="18"/>
              </w:rPr>
            </w:pPr>
            <w:r w:rsidRPr="00C51D71">
              <w:rPr>
                <w:b/>
                <w:sz w:val="18"/>
                <w:szCs w:val="18"/>
              </w:rPr>
              <w:t>Brunnen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71" w:rsidRPr="00C51D71" w:rsidRDefault="00AA22D8" w:rsidP="00C51D7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Brunnen 2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Süssental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71" w:rsidRPr="00C51D71" w:rsidRDefault="00AA22D8" w:rsidP="00C51D71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Andernach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71" w:rsidRPr="00C51D71" w:rsidRDefault="00AA22D8" w:rsidP="00C51D71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Eich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71" w:rsidRPr="00C51D71" w:rsidRDefault="00C51D71" w:rsidP="00C51D71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C51D71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71" w:rsidRPr="00C51D71" w:rsidRDefault="00AA22D8" w:rsidP="00C51D71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549/5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71" w:rsidRPr="00C51D71" w:rsidRDefault="00AA22D8" w:rsidP="00C51D71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424F9D">
              <w:rPr>
                <w:rFonts w:cs="Arial"/>
                <w:b/>
                <w:sz w:val="18"/>
                <w:szCs w:val="18"/>
              </w:rPr>
              <w:t>3</w:t>
            </w:r>
            <w:r>
              <w:rPr>
                <w:rFonts w:cs="Arial"/>
                <w:b/>
                <w:sz w:val="18"/>
                <w:szCs w:val="18"/>
              </w:rPr>
              <w:t>82</w:t>
            </w:r>
            <w:r w:rsidRPr="00424F9D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838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71" w:rsidRPr="00C51D71" w:rsidRDefault="00AA22D8" w:rsidP="00C51D71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424F9D">
              <w:rPr>
                <w:rFonts w:cs="Arial"/>
                <w:b/>
                <w:sz w:val="18"/>
                <w:szCs w:val="18"/>
              </w:rPr>
              <w:t xml:space="preserve">5 </w:t>
            </w:r>
            <w:r>
              <w:rPr>
                <w:rFonts w:cs="Arial"/>
                <w:b/>
                <w:sz w:val="18"/>
                <w:szCs w:val="18"/>
              </w:rPr>
              <w:t>588 055</w:t>
            </w:r>
          </w:p>
        </w:tc>
      </w:tr>
    </w:tbl>
    <w:p w:rsidR="006175A3" w:rsidRPr="006D48E9" w:rsidRDefault="006175A3" w:rsidP="006B0AF6">
      <w:pPr>
        <w:pStyle w:val="Num"/>
        <w:tabs>
          <w:tab w:val="left" w:pos="6237"/>
        </w:tabs>
        <w:ind w:left="0" w:firstLine="0"/>
        <w:rPr>
          <w:sz w:val="10"/>
          <w:szCs w:val="10"/>
        </w:rPr>
      </w:pPr>
      <w:r>
        <w:rPr>
          <w:sz w:val="16"/>
          <w:szCs w:val="16"/>
        </w:rPr>
        <w:tab/>
      </w:r>
    </w:p>
    <w:p w:rsidR="006175A3" w:rsidRDefault="006175A3" w:rsidP="00C66FC7">
      <w:pPr>
        <w:pStyle w:val="Num"/>
        <w:tabs>
          <w:tab w:val="left" w:pos="6237"/>
        </w:tabs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Koordinatensystem: ETRS89, UTM, Zone 32</w:t>
      </w:r>
    </w:p>
    <w:p w:rsidR="006175A3" w:rsidRPr="006B0AF6" w:rsidRDefault="006175A3" w:rsidP="006B0AF6">
      <w:pPr>
        <w:pStyle w:val="Num"/>
        <w:tabs>
          <w:tab w:val="left" w:pos="6237"/>
        </w:tabs>
        <w:ind w:left="284" w:firstLine="0"/>
        <w:rPr>
          <w:sz w:val="24"/>
          <w:szCs w:val="24"/>
        </w:rPr>
      </w:pPr>
    </w:p>
    <w:p w:rsidR="006175A3" w:rsidRPr="006B0AF6" w:rsidRDefault="006175A3" w:rsidP="006B0AF6">
      <w:pPr>
        <w:pStyle w:val="Textkrper-Zeileneinzug"/>
        <w:spacing w:line="276" w:lineRule="auto"/>
        <w:rPr>
          <w:sz w:val="24"/>
          <w:szCs w:val="24"/>
        </w:rPr>
      </w:pPr>
      <w:r w:rsidRPr="006B0AF6">
        <w:rPr>
          <w:sz w:val="24"/>
          <w:szCs w:val="24"/>
        </w:rPr>
        <w:t>Die Erlaubnis soll erteilt werden für die Verwendung de</w:t>
      </w:r>
      <w:r>
        <w:rPr>
          <w:sz w:val="24"/>
          <w:szCs w:val="24"/>
        </w:rPr>
        <w:t>s entnommenen Wasser zur öffent</w:t>
      </w:r>
      <w:r w:rsidRPr="006B0AF6">
        <w:rPr>
          <w:sz w:val="24"/>
          <w:szCs w:val="24"/>
        </w:rPr>
        <w:t xml:space="preserve">lichen Wasserversorgung im </w:t>
      </w:r>
      <w:r w:rsidR="000C5833">
        <w:rPr>
          <w:sz w:val="24"/>
          <w:szCs w:val="24"/>
        </w:rPr>
        <w:t>Gebiet</w:t>
      </w:r>
      <w:r w:rsidR="00C51D71">
        <w:rPr>
          <w:sz w:val="24"/>
          <w:szCs w:val="24"/>
        </w:rPr>
        <w:t xml:space="preserve"> der</w:t>
      </w:r>
      <w:r w:rsidR="00964B77">
        <w:rPr>
          <w:sz w:val="24"/>
          <w:szCs w:val="24"/>
        </w:rPr>
        <w:t xml:space="preserve"> </w:t>
      </w:r>
      <w:r w:rsidR="00A944E6">
        <w:rPr>
          <w:sz w:val="24"/>
          <w:szCs w:val="24"/>
        </w:rPr>
        <w:t>Stadt Andernach</w:t>
      </w:r>
    </w:p>
    <w:p w:rsidR="006175A3" w:rsidRPr="006B0AF6" w:rsidRDefault="006175A3" w:rsidP="006B0AF6">
      <w:pPr>
        <w:tabs>
          <w:tab w:val="num" w:pos="426"/>
        </w:tabs>
        <w:spacing w:line="276" w:lineRule="auto"/>
        <w:ind w:left="284" w:hanging="426"/>
        <w:jc w:val="both"/>
        <w:rPr>
          <w:szCs w:val="24"/>
        </w:rPr>
      </w:pPr>
      <w:r w:rsidRPr="006B0AF6">
        <w:rPr>
          <w:szCs w:val="24"/>
        </w:rPr>
        <w:tab/>
      </w:r>
    </w:p>
    <w:p w:rsidR="00C51D71" w:rsidRPr="00951FF0" w:rsidRDefault="006175A3" w:rsidP="00422353">
      <w:pPr>
        <w:tabs>
          <w:tab w:val="num" w:pos="2268"/>
          <w:tab w:val="left" w:pos="3686"/>
          <w:tab w:val="left" w:pos="5103"/>
        </w:tabs>
        <w:spacing w:line="276" w:lineRule="auto"/>
        <w:ind w:left="284" w:hanging="426"/>
        <w:jc w:val="both"/>
        <w:rPr>
          <w:rFonts w:cs="Arial"/>
          <w:szCs w:val="24"/>
        </w:rPr>
      </w:pPr>
      <w:r w:rsidRPr="00951FF0">
        <w:rPr>
          <w:rFonts w:cs="Arial"/>
          <w:szCs w:val="24"/>
        </w:rPr>
        <w:tab/>
        <w:t>Es wurden folgende Höchstentnahmemengen beantragt:</w:t>
      </w:r>
      <w:r w:rsidRPr="00951FF0">
        <w:rPr>
          <w:rFonts w:cs="Arial"/>
          <w:szCs w:val="24"/>
        </w:rPr>
        <w:tab/>
      </w:r>
      <w:r w:rsidRPr="00951FF0">
        <w:rPr>
          <w:rFonts w:cs="Arial"/>
          <w:szCs w:val="24"/>
        </w:rPr>
        <w:br/>
      </w:r>
      <w:r w:rsidRPr="00951FF0">
        <w:rPr>
          <w:rFonts w:cs="Arial"/>
          <w:szCs w:val="24"/>
        </w:rPr>
        <w:br/>
      </w:r>
      <w:r w:rsidR="00AA22D8">
        <w:rPr>
          <w:rFonts w:cs="Arial"/>
          <w:szCs w:val="24"/>
        </w:rPr>
        <w:t>Brunnen 1a Eich</w:t>
      </w:r>
      <w:r w:rsidR="00AA22D8">
        <w:rPr>
          <w:rFonts w:cs="Arial"/>
          <w:szCs w:val="24"/>
        </w:rPr>
        <w:tab/>
      </w:r>
      <w:r w:rsidR="00A944E6">
        <w:rPr>
          <w:rFonts w:cs="Arial"/>
          <w:szCs w:val="24"/>
        </w:rPr>
        <w:t>:</w:t>
      </w:r>
      <w:r w:rsidR="00A944E6">
        <w:rPr>
          <w:rFonts w:cs="Arial"/>
          <w:szCs w:val="24"/>
        </w:rPr>
        <w:tab/>
        <w:t>45</w:t>
      </w:r>
      <w:r w:rsidRPr="00951FF0">
        <w:rPr>
          <w:rFonts w:cs="Arial"/>
          <w:szCs w:val="24"/>
        </w:rPr>
        <w:t xml:space="preserve"> m³/h, </w:t>
      </w:r>
      <w:r w:rsidR="00C51D71" w:rsidRPr="00951FF0">
        <w:rPr>
          <w:rFonts w:cs="Arial"/>
          <w:szCs w:val="24"/>
        </w:rPr>
        <w:tab/>
      </w:r>
      <w:r w:rsidR="00A944E6">
        <w:rPr>
          <w:rFonts w:cs="Arial"/>
          <w:szCs w:val="24"/>
        </w:rPr>
        <w:t>9</w:t>
      </w:r>
      <w:r w:rsidR="00C51D71" w:rsidRPr="00951FF0">
        <w:rPr>
          <w:rFonts w:cs="Arial"/>
          <w:szCs w:val="24"/>
        </w:rPr>
        <w:t>0</w:t>
      </w:r>
      <w:r w:rsidR="00AE5DC2" w:rsidRPr="00951FF0">
        <w:rPr>
          <w:rFonts w:cs="Arial"/>
          <w:szCs w:val="24"/>
        </w:rPr>
        <w:t>0</w:t>
      </w:r>
      <w:r w:rsidRPr="00951FF0">
        <w:rPr>
          <w:rFonts w:cs="Arial"/>
          <w:szCs w:val="24"/>
        </w:rPr>
        <w:t xml:space="preserve"> m³/d, </w:t>
      </w:r>
      <w:r w:rsidR="00C51D71" w:rsidRPr="00951FF0">
        <w:rPr>
          <w:rFonts w:cs="Arial"/>
          <w:szCs w:val="24"/>
        </w:rPr>
        <w:tab/>
      </w:r>
      <w:r w:rsidR="00A944E6">
        <w:rPr>
          <w:rFonts w:cs="Arial"/>
          <w:szCs w:val="24"/>
        </w:rPr>
        <w:t>96.5</w:t>
      </w:r>
      <w:r w:rsidR="00AE5DC2" w:rsidRPr="00951FF0">
        <w:rPr>
          <w:rFonts w:cs="Arial"/>
          <w:szCs w:val="24"/>
        </w:rPr>
        <w:t>00</w:t>
      </w:r>
      <w:r w:rsidRPr="00951FF0">
        <w:rPr>
          <w:rFonts w:cs="Arial"/>
          <w:szCs w:val="24"/>
        </w:rPr>
        <w:t xml:space="preserve"> m³/a</w:t>
      </w:r>
      <w:r w:rsidRPr="00951FF0">
        <w:rPr>
          <w:rFonts w:cs="Arial"/>
          <w:szCs w:val="24"/>
        </w:rPr>
        <w:tab/>
      </w:r>
    </w:p>
    <w:p w:rsidR="006175A3" w:rsidRPr="002502D6" w:rsidRDefault="00AA22D8" w:rsidP="00C51D71">
      <w:pPr>
        <w:tabs>
          <w:tab w:val="num" w:pos="2268"/>
          <w:tab w:val="left" w:pos="3686"/>
          <w:tab w:val="left" w:pos="5103"/>
        </w:tabs>
        <w:spacing w:line="276" w:lineRule="auto"/>
        <w:ind w:left="28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Brunnen 2 </w:t>
      </w:r>
      <w:proofErr w:type="spellStart"/>
      <w:r>
        <w:rPr>
          <w:rFonts w:cs="Arial"/>
          <w:szCs w:val="24"/>
        </w:rPr>
        <w:t>Süssental</w:t>
      </w:r>
      <w:proofErr w:type="spellEnd"/>
      <w:r w:rsidR="00A944E6">
        <w:rPr>
          <w:rFonts w:cs="Arial"/>
          <w:szCs w:val="24"/>
        </w:rPr>
        <w:t>:</w:t>
      </w:r>
      <w:r w:rsidR="00A944E6">
        <w:rPr>
          <w:rFonts w:cs="Arial"/>
          <w:szCs w:val="24"/>
        </w:rPr>
        <w:tab/>
        <w:t xml:space="preserve">25 m³/h, </w:t>
      </w:r>
      <w:r w:rsidR="00A944E6">
        <w:rPr>
          <w:rFonts w:cs="Arial"/>
          <w:szCs w:val="24"/>
        </w:rPr>
        <w:tab/>
        <w:t xml:space="preserve">500 m³/d, </w:t>
      </w:r>
      <w:r w:rsidR="00A944E6">
        <w:rPr>
          <w:rFonts w:cs="Arial"/>
          <w:szCs w:val="24"/>
        </w:rPr>
        <w:tab/>
        <w:t>53.5</w:t>
      </w:r>
      <w:r w:rsidR="00C51D71" w:rsidRPr="00951FF0">
        <w:rPr>
          <w:rFonts w:cs="Arial"/>
          <w:szCs w:val="24"/>
        </w:rPr>
        <w:t>00 m³/a</w:t>
      </w:r>
      <w:r w:rsidR="00C51D71" w:rsidRPr="00951FF0">
        <w:rPr>
          <w:rFonts w:cs="Arial"/>
          <w:szCs w:val="24"/>
        </w:rPr>
        <w:tab/>
      </w:r>
      <w:r w:rsidR="00C51D71" w:rsidRPr="00951FF0">
        <w:rPr>
          <w:rFonts w:cs="Arial"/>
          <w:szCs w:val="24"/>
        </w:rPr>
        <w:br/>
      </w:r>
      <w:r w:rsidR="006175A3" w:rsidRPr="00951FF0">
        <w:rPr>
          <w:rFonts w:cs="Arial"/>
          <w:szCs w:val="24"/>
        </w:rPr>
        <w:br/>
      </w:r>
      <w:r w:rsidR="006175A3" w:rsidRPr="002E2FB8">
        <w:rPr>
          <w:rFonts w:cs="Arial"/>
          <w:szCs w:val="24"/>
        </w:rPr>
        <w:br/>
        <w:t xml:space="preserve">Hierfür ist gemäß </w:t>
      </w:r>
      <w:r w:rsidR="000C5833" w:rsidRPr="002E2FB8">
        <w:rPr>
          <w:rFonts w:cs="Arial"/>
          <w:szCs w:val="24"/>
        </w:rPr>
        <w:t xml:space="preserve">der </w:t>
      </w:r>
      <w:r w:rsidR="006175A3" w:rsidRPr="002E2FB8">
        <w:rPr>
          <w:rFonts w:cs="Arial"/>
          <w:szCs w:val="24"/>
        </w:rPr>
        <w:t xml:space="preserve">§§ 8 bis 13, 15 und 16 des Gesetzes zur Ordnung des Wasserhaushalts (Wasserhaushaltsgesetz – WHG) vom 31.07.2009 (BGBl. I S. 2585), </w:t>
      </w:r>
      <w:r w:rsidR="00951FF0" w:rsidRPr="002E2FB8">
        <w:rPr>
          <w:rFonts w:cs="Arial"/>
        </w:rPr>
        <w:t xml:space="preserve">zuletzt geändert </w:t>
      </w:r>
      <w:r w:rsidR="002502D6" w:rsidRPr="002E2FB8">
        <w:rPr>
          <w:rFonts w:cs="Arial"/>
          <w:color w:val="000000"/>
          <w:szCs w:val="24"/>
          <w:shd w:val="clear" w:color="auto" w:fill="EEF1F6"/>
        </w:rPr>
        <w:t xml:space="preserve">durch Artikel 12 des Gesetzes vom 20. Juli 2022 (BGBl. I S. </w:t>
      </w:r>
      <w:r w:rsidR="002502D6" w:rsidRPr="002E2FB8">
        <w:rPr>
          <w:rFonts w:cs="Arial"/>
          <w:color w:val="000000"/>
          <w:szCs w:val="24"/>
          <w:shd w:val="clear" w:color="auto" w:fill="EEF1F6"/>
        </w:rPr>
        <w:lastRenderedPageBreak/>
        <w:t>1237)</w:t>
      </w:r>
      <w:r w:rsidR="00964B77" w:rsidRPr="002E2FB8">
        <w:rPr>
          <w:rFonts w:cs="Arial"/>
        </w:rPr>
        <w:t xml:space="preserve"> </w:t>
      </w:r>
      <w:r w:rsidR="000C5833" w:rsidRPr="002E2FB8">
        <w:rPr>
          <w:rFonts w:cs="Arial"/>
          <w:szCs w:val="24"/>
        </w:rPr>
        <w:t>sowie der §§ 16 und</w:t>
      </w:r>
      <w:r w:rsidR="006175A3" w:rsidRPr="002E2FB8">
        <w:rPr>
          <w:rFonts w:cs="Arial"/>
          <w:szCs w:val="24"/>
        </w:rPr>
        <w:t xml:space="preserve"> 108 Landeswassergesetz (LWG) vom 14.07.2015 (</w:t>
      </w:r>
      <w:proofErr w:type="spellStart"/>
      <w:r w:rsidR="006175A3" w:rsidRPr="002E2FB8">
        <w:rPr>
          <w:rFonts w:cs="Arial"/>
          <w:szCs w:val="24"/>
        </w:rPr>
        <w:t>GVBl</w:t>
      </w:r>
      <w:proofErr w:type="spellEnd"/>
      <w:r w:rsidR="006175A3" w:rsidRPr="002E2FB8">
        <w:rPr>
          <w:rFonts w:cs="Arial"/>
          <w:szCs w:val="24"/>
        </w:rPr>
        <w:t>. S. 127)</w:t>
      </w:r>
      <w:r w:rsidR="00951FF0" w:rsidRPr="002E2FB8">
        <w:rPr>
          <w:rFonts w:cs="Arial"/>
          <w:szCs w:val="24"/>
        </w:rPr>
        <w:t xml:space="preserve">, </w:t>
      </w:r>
      <w:r w:rsidR="00951FF0" w:rsidRPr="002E2FB8">
        <w:rPr>
          <w:rFonts w:cs="Arial"/>
          <w:color w:val="000000"/>
        </w:rPr>
        <w:t xml:space="preserve">zuletzt geändert </w:t>
      </w:r>
      <w:r w:rsidR="002E2FB8" w:rsidRPr="002E2FB8">
        <w:rPr>
          <w:rFonts w:cs="Arial"/>
          <w:color w:val="000000"/>
          <w:szCs w:val="24"/>
          <w:shd w:val="clear" w:color="auto" w:fill="FFFFFF"/>
        </w:rPr>
        <w:t>durch Artikel 2 des Gesetzes vom 08.04.2022 (</w:t>
      </w:r>
      <w:proofErr w:type="spellStart"/>
      <w:r w:rsidR="002E2FB8" w:rsidRPr="002E2FB8">
        <w:rPr>
          <w:rFonts w:cs="Arial"/>
          <w:color w:val="000000"/>
          <w:szCs w:val="24"/>
          <w:shd w:val="clear" w:color="auto" w:fill="FFFFFF"/>
        </w:rPr>
        <w:t>GVBl</w:t>
      </w:r>
      <w:proofErr w:type="spellEnd"/>
      <w:r w:rsidR="002E2FB8" w:rsidRPr="002E2FB8">
        <w:rPr>
          <w:rFonts w:cs="Arial"/>
          <w:color w:val="000000"/>
          <w:szCs w:val="24"/>
          <w:shd w:val="clear" w:color="auto" w:fill="FFFFFF"/>
        </w:rPr>
        <w:t>. S. 118)</w:t>
      </w:r>
      <w:r w:rsidR="00951FF0" w:rsidRPr="002E2FB8">
        <w:rPr>
          <w:rFonts w:cs="Arial"/>
          <w:color w:val="000000"/>
        </w:rPr>
        <w:t>,</w:t>
      </w:r>
      <w:r w:rsidR="006175A3" w:rsidRPr="002E2FB8">
        <w:rPr>
          <w:rFonts w:cs="Arial"/>
          <w:szCs w:val="24"/>
        </w:rPr>
        <w:t xml:space="preserve"> die Durchführung eines Verfahrens nach § 108 LWG erforderlich.</w:t>
      </w:r>
      <w:r w:rsidR="006175A3" w:rsidRPr="002502D6">
        <w:rPr>
          <w:rFonts w:cs="Arial"/>
          <w:szCs w:val="24"/>
        </w:rPr>
        <w:tab/>
      </w:r>
      <w:r w:rsidR="006175A3" w:rsidRPr="002502D6">
        <w:rPr>
          <w:rFonts w:cs="Arial"/>
          <w:szCs w:val="24"/>
        </w:rPr>
        <w:br/>
      </w:r>
      <w:r w:rsidR="006175A3" w:rsidRPr="002502D6">
        <w:rPr>
          <w:rFonts w:cs="Arial"/>
          <w:szCs w:val="24"/>
        </w:rPr>
        <w:br/>
      </w:r>
      <w:r w:rsidR="006175A3" w:rsidRPr="002E2FB8">
        <w:rPr>
          <w:rFonts w:cs="Arial"/>
          <w:szCs w:val="24"/>
        </w:rPr>
        <w:t>Die Zuständigkeit der Struktur- und Genehmigungsdirektion Nord ergibt sich aus § 19</w:t>
      </w:r>
      <w:r w:rsidR="006175A3" w:rsidRPr="002502D6">
        <w:rPr>
          <w:rFonts w:cs="Arial"/>
          <w:szCs w:val="24"/>
        </w:rPr>
        <w:t xml:space="preserve"> Abs. 1 Nr. 1c) in Verbindung mit §§ 45 Nr. 3, 92 Abs. 2 und 96 Abs. 1 LWG.</w:t>
      </w:r>
      <w:r w:rsidR="006175A3" w:rsidRPr="002502D6">
        <w:rPr>
          <w:rFonts w:cs="Arial"/>
          <w:szCs w:val="24"/>
        </w:rPr>
        <w:tab/>
      </w:r>
      <w:r w:rsidR="006175A3" w:rsidRPr="002502D6">
        <w:rPr>
          <w:rFonts w:cs="Arial"/>
          <w:szCs w:val="24"/>
        </w:rPr>
        <w:br/>
      </w:r>
    </w:p>
    <w:p w:rsidR="006175A3" w:rsidRPr="002502D6" w:rsidRDefault="006175A3" w:rsidP="006564FE">
      <w:pPr>
        <w:spacing w:line="276" w:lineRule="auto"/>
        <w:ind w:left="284"/>
        <w:jc w:val="both"/>
        <w:rPr>
          <w:rFonts w:cs="Arial"/>
          <w:szCs w:val="24"/>
        </w:rPr>
      </w:pPr>
      <w:r w:rsidRPr="002502D6">
        <w:rPr>
          <w:rFonts w:cs="Arial"/>
          <w:szCs w:val="24"/>
        </w:rPr>
        <w:t xml:space="preserve">Näheres über Art und Umfang der beantragten Maßnahme kann den Antrags- und Planunterlagen (Zeichnungen, Pläne und Erläuterungen), Az. </w:t>
      </w:r>
      <w:r w:rsidR="00C51D71" w:rsidRPr="002502D6">
        <w:rPr>
          <w:rFonts w:cs="Arial"/>
          <w:szCs w:val="24"/>
        </w:rPr>
        <w:t>323-V32-1</w:t>
      </w:r>
      <w:r w:rsidR="00AA22D8" w:rsidRPr="002502D6">
        <w:rPr>
          <w:rFonts w:cs="Arial"/>
          <w:szCs w:val="24"/>
        </w:rPr>
        <w:t>37</w:t>
      </w:r>
      <w:r w:rsidR="00964B77" w:rsidRPr="002502D6">
        <w:rPr>
          <w:rFonts w:cs="Arial"/>
          <w:szCs w:val="24"/>
        </w:rPr>
        <w:t>-0</w:t>
      </w:r>
      <w:r w:rsidR="00AA22D8" w:rsidRPr="002502D6">
        <w:rPr>
          <w:rFonts w:cs="Arial"/>
          <w:szCs w:val="24"/>
        </w:rPr>
        <w:t>0 003-21150/2021</w:t>
      </w:r>
      <w:r w:rsidRPr="002502D6">
        <w:rPr>
          <w:rFonts w:cs="Arial"/>
          <w:szCs w:val="24"/>
        </w:rPr>
        <w:t xml:space="preserve">, entnommen werden, die wie folgt zu </w:t>
      </w:r>
      <w:r w:rsidRPr="002502D6">
        <w:rPr>
          <w:rFonts w:cs="Arial"/>
          <w:b/>
          <w:szCs w:val="24"/>
        </w:rPr>
        <w:t>jedermanns Einsichtnahme</w:t>
      </w:r>
      <w:r w:rsidRPr="002502D6">
        <w:rPr>
          <w:rFonts w:cs="Arial"/>
          <w:szCs w:val="24"/>
        </w:rPr>
        <w:t xml:space="preserve"> ausgelegt werden. </w:t>
      </w:r>
    </w:p>
    <w:p w:rsidR="006175A3" w:rsidRPr="002502D6" w:rsidRDefault="006175A3" w:rsidP="006B0AF6">
      <w:pPr>
        <w:spacing w:line="360" w:lineRule="auto"/>
        <w:ind w:left="284"/>
        <w:jc w:val="both"/>
        <w:rPr>
          <w:szCs w:val="24"/>
        </w:rPr>
      </w:pPr>
    </w:p>
    <w:p w:rsidR="006175A3" w:rsidRPr="002502D6" w:rsidRDefault="006175A3" w:rsidP="006B0AF6">
      <w:pPr>
        <w:spacing w:line="360" w:lineRule="auto"/>
        <w:ind w:left="284"/>
        <w:jc w:val="both"/>
        <w:rPr>
          <w:szCs w:val="24"/>
        </w:rPr>
      </w:pPr>
    </w:p>
    <w:p w:rsidR="006175A3" w:rsidRPr="002502D6" w:rsidRDefault="006175A3" w:rsidP="006B0AF6">
      <w:pPr>
        <w:spacing w:line="360" w:lineRule="auto"/>
        <w:ind w:left="284"/>
        <w:jc w:val="both"/>
        <w:rPr>
          <w:szCs w:val="24"/>
        </w:rPr>
      </w:pPr>
      <w:r w:rsidRPr="002502D6">
        <w:rPr>
          <w:szCs w:val="24"/>
        </w:rPr>
        <w:t>Die Planunterlagen liegen aus</w:t>
      </w:r>
    </w:p>
    <w:p w:rsidR="006175A3" w:rsidRPr="006B0AF6" w:rsidRDefault="006175A3" w:rsidP="006B0AF6">
      <w:pPr>
        <w:tabs>
          <w:tab w:val="left" w:pos="2268"/>
        </w:tabs>
        <w:spacing w:line="360" w:lineRule="auto"/>
        <w:ind w:left="284"/>
        <w:jc w:val="both"/>
        <w:rPr>
          <w:szCs w:val="24"/>
        </w:rPr>
      </w:pPr>
      <w:r w:rsidRPr="002502D6">
        <w:rPr>
          <w:szCs w:val="24"/>
        </w:rPr>
        <w:t xml:space="preserve">vom </w:t>
      </w:r>
      <w:bookmarkStart w:id="0" w:name="Text7"/>
      <w:r w:rsidRPr="002502D6">
        <w:rPr>
          <w:szCs w:val="24"/>
        </w:rPr>
        <w:fldChar w:fldCharType="begin">
          <w:ffData>
            <w:name w:val="Text7"/>
            <w:enabled/>
            <w:calcOnExit w:val="0"/>
            <w:textInput>
              <w:default w:val="________"/>
            </w:textInput>
          </w:ffData>
        </w:fldChar>
      </w:r>
      <w:r w:rsidRPr="002502D6">
        <w:rPr>
          <w:szCs w:val="24"/>
        </w:rPr>
        <w:instrText xml:space="preserve"> FORMTEXT </w:instrText>
      </w:r>
      <w:r w:rsidRPr="002502D6">
        <w:rPr>
          <w:szCs w:val="24"/>
        </w:rPr>
      </w:r>
      <w:r w:rsidRPr="002502D6">
        <w:rPr>
          <w:szCs w:val="24"/>
        </w:rPr>
        <w:fldChar w:fldCharType="separate"/>
      </w:r>
      <w:r w:rsidRPr="002502D6">
        <w:rPr>
          <w:noProof/>
          <w:szCs w:val="24"/>
        </w:rPr>
        <w:t>________</w:t>
      </w:r>
      <w:r w:rsidRPr="002502D6">
        <w:rPr>
          <w:szCs w:val="24"/>
        </w:rPr>
        <w:fldChar w:fldCharType="end"/>
      </w:r>
      <w:bookmarkEnd w:id="0"/>
      <w:r w:rsidRPr="002502D6">
        <w:rPr>
          <w:szCs w:val="24"/>
        </w:rPr>
        <w:fldChar w:fldCharType="begin">
          <w:ffData>
            <w:name w:val="Text7"/>
            <w:enabled/>
            <w:calcOnExit w:val="0"/>
            <w:textInput>
              <w:default w:val="________"/>
            </w:textInput>
          </w:ffData>
        </w:fldChar>
      </w:r>
      <w:r w:rsidRPr="002502D6">
        <w:rPr>
          <w:szCs w:val="24"/>
        </w:rPr>
        <w:instrText xml:space="preserve"> FORMTEXT </w:instrText>
      </w:r>
      <w:r w:rsidRPr="002502D6">
        <w:rPr>
          <w:szCs w:val="24"/>
        </w:rPr>
      </w:r>
      <w:r w:rsidRPr="002502D6">
        <w:rPr>
          <w:szCs w:val="24"/>
        </w:rPr>
        <w:fldChar w:fldCharType="separate"/>
      </w:r>
      <w:r w:rsidRPr="002502D6">
        <w:rPr>
          <w:noProof/>
          <w:szCs w:val="24"/>
        </w:rPr>
        <w:t>________</w:t>
      </w:r>
      <w:r w:rsidRPr="002502D6">
        <w:rPr>
          <w:szCs w:val="24"/>
        </w:rPr>
        <w:fldChar w:fldCharType="end"/>
      </w:r>
      <w:r w:rsidRPr="002502D6">
        <w:rPr>
          <w:szCs w:val="24"/>
        </w:rPr>
        <w:t xml:space="preserve"> bis </w:t>
      </w:r>
      <w:bookmarkStart w:id="1" w:name="Text8"/>
      <w:r w:rsidRPr="002502D6">
        <w:rPr>
          <w:szCs w:val="24"/>
        </w:rPr>
        <w:fldChar w:fldCharType="begin">
          <w:ffData>
            <w:name w:val="Text8"/>
            <w:enabled/>
            <w:calcOnExit w:val="0"/>
            <w:textInput>
              <w:default w:val="________"/>
            </w:textInput>
          </w:ffData>
        </w:fldChar>
      </w:r>
      <w:r w:rsidRPr="002502D6">
        <w:rPr>
          <w:szCs w:val="24"/>
        </w:rPr>
        <w:instrText xml:space="preserve"> FORMTEXT </w:instrText>
      </w:r>
      <w:r w:rsidRPr="002502D6">
        <w:rPr>
          <w:szCs w:val="24"/>
        </w:rPr>
      </w:r>
      <w:r w:rsidRPr="002502D6">
        <w:rPr>
          <w:szCs w:val="24"/>
        </w:rPr>
        <w:fldChar w:fldCharType="separate"/>
      </w:r>
      <w:r w:rsidRPr="002502D6">
        <w:rPr>
          <w:noProof/>
          <w:szCs w:val="24"/>
        </w:rPr>
        <w:t>________</w:t>
      </w:r>
      <w:r w:rsidRPr="002502D6">
        <w:rPr>
          <w:szCs w:val="24"/>
        </w:rPr>
        <w:fldChar w:fldCharType="end"/>
      </w:r>
      <w:bookmarkStart w:id="2" w:name="Text9"/>
      <w:bookmarkEnd w:id="1"/>
      <w:r w:rsidRPr="002502D6">
        <w:rPr>
          <w:szCs w:val="24"/>
        </w:rPr>
        <w:fldChar w:fldCharType="begin">
          <w:ffData>
            <w:name w:val="Text7"/>
            <w:enabled/>
            <w:calcOnExit w:val="0"/>
            <w:textInput>
              <w:default w:val="________"/>
            </w:textInput>
          </w:ffData>
        </w:fldChar>
      </w:r>
      <w:r w:rsidRPr="002502D6">
        <w:rPr>
          <w:szCs w:val="24"/>
        </w:rPr>
        <w:instrText xml:space="preserve"> FORMTEXT </w:instrText>
      </w:r>
      <w:r w:rsidRPr="002502D6">
        <w:rPr>
          <w:szCs w:val="24"/>
        </w:rPr>
      </w:r>
      <w:r w:rsidRPr="002502D6">
        <w:rPr>
          <w:szCs w:val="24"/>
        </w:rPr>
        <w:fldChar w:fldCharType="separate"/>
      </w:r>
      <w:r w:rsidRPr="002502D6">
        <w:rPr>
          <w:noProof/>
          <w:szCs w:val="24"/>
        </w:rPr>
        <w:t>________</w:t>
      </w:r>
      <w:r w:rsidRPr="002502D6">
        <w:rPr>
          <w:szCs w:val="24"/>
        </w:rPr>
        <w:fldChar w:fldCharType="end"/>
      </w:r>
      <w:r w:rsidRPr="002502D6">
        <w:rPr>
          <w:szCs w:val="24"/>
        </w:rPr>
        <w:t xml:space="preserve"> einschließlich</w:t>
      </w:r>
      <w:r w:rsidRPr="002502D6">
        <w:rPr>
          <w:szCs w:val="24"/>
        </w:rPr>
        <w:tab/>
      </w:r>
      <w:r w:rsidRPr="002502D6">
        <w:rPr>
          <w:szCs w:val="24"/>
        </w:rPr>
        <w:br/>
        <w:t xml:space="preserve">bei der </w:t>
      </w:r>
      <w:r w:rsidRPr="002502D6">
        <w:rPr>
          <w:szCs w:val="24"/>
        </w:rPr>
        <w:fldChar w:fldCharType="begin">
          <w:ffData>
            <w:name w:val="Text9"/>
            <w:enabled/>
            <w:calcOnExit w:val="0"/>
            <w:textInput>
              <w:default w:val="___________________________"/>
            </w:textInput>
          </w:ffData>
        </w:fldChar>
      </w:r>
      <w:r w:rsidRPr="002502D6">
        <w:rPr>
          <w:szCs w:val="24"/>
        </w:rPr>
        <w:instrText xml:space="preserve"> FORMTEXT </w:instrText>
      </w:r>
      <w:r w:rsidRPr="002502D6">
        <w:rPr>
          <w:szCs w:val="24"/>
        </w:rPr>
      </w:r>
      <w:r w:rsidRPr="002502D6">
        <w:rPr>
          <w:szCs w:val="24"/>
        </w:rPr>
        <w:fldChar w:fldCharType="separate"/>
      </w:r>
      <w:r w:rsidRPr="002502D6">
        <w:rPr>
          <w:noProof/>
          <w:szCs w:val="24"/>
        </w:rPr>
        <w:t>___________________________</w:t>
      </w:r>
      <w:r w:rsidRPr="002502D6">
        <w:rPr>
          <w:szCs w:val="24"/>
        </w:rPr>
        <w:fldChar w:fldCharType="end"/>
      </w:r>
      <w:bookmarkEnd w:id="2"/>
      <w:r w:rsidRPr="002502D6">
        <w:rPr>
          <w:szCs w:val="24"/>
        </w:rPr>
        <w:fldChar w:fldCharType="begin">
          <w:ffData>
            <w:name w:val="Text9"/>
            <w:enabled/>
            <w:calcOnExit w:val="0"/>
            <w:textInput>
              <w:default w:val="___________________________"/>
            </w:textInput>
          </w:ffData>
        </w:fldChar>
      </w:r>
      <w:r w:rsidRPr="002502D6">
        <w:rPr>
          <w:szCs w:val="24"/>
        </w:rPr>
        <w:instrText xml:space="preserve"> FORMTEXT </w:instrText>
      </w:r>
      <w:r w:rsidRPr="002502D6">
        <w:rPr>
          <w:szCs w:val="24"/>
        </w:rPr>
      </w:r>
      <w:r w:rsidRPr="002502D6">
        <w:rPr>
          <w:szCs w:val="24"/>
        </w:rPr>
        <w:fldChar w:fldCharType="separate"/>
      </w:r>
      <w:r w:rsidRPr="002502D6">
        <w:rPr>
          <w:noProof/>
          <w:szCs w:val="24"/>
        </w:rPr>
        <w:t>___________________________</w:t>
      </w:r>
      <w:r w:rsidRPr="002502D6">
        <w:rPr>
          <w:szCs w:val="24"/>
        </w:rPr>
        <w:fldChar w:fldCharType="end"/>
      </w:r>
      <w:r w:rsidRPr="002502D6">
        <w:rPr>
          <w:szCs w:val="24"/>
        </w:rPr>
        <w:tab/>
      </w:r>
      <w:r w:rsidRPr="002502D6">
        <w:rPr>
          <w:szCs w:val="24"/>
        </w:rPr>
        <w:br/>
        <w:t xml:space="preserve">Dienstzimmer Nr. </w:t>
      </w:r>
      <w:bookmarkStart w:id="3" w:name="Text10"/>
      <w:r w:rsidRPr="002502D6">
        <w:rPr>
          <w:szCs w:val="24"/>
        </w:rPr>
        <w:tab/>
      </w:r>
      <w:r w:rsidRPr="002502D6">
        <w:rPr>
          <w:szCs w:val="24"/>
        </w:rPr>
        <w:fldChar w:fldCharType="begin">
          <w:ffData>
            <w:name w:val="Text10"/>
            <w:enabled/>
            <w:calcOnExit w:val="0"/>
            <w:textInput>
              <w:default w:val="________"/>
            </w:textInput>
          </w:ffData>
        </w:fldChar>
      </w:r>
      <w:r w:rsidRPr="002502D6">
        <w:rPr>
          <w:szCs w:val="24"/>
        </w:rPr>
        <w:instrText xml:space="preserve"> FORMTEXT </w:instrText>
      </w:r>
      <w:r w:rsidRPr="002502D6">
        <w:rPr>
          <w:szCs w:val="24"/>
        </w:rPr>
      </w:r>
      <w:r w:rsidRPr="002502D6">
        <w:rPr>
          <w:szCs w:val="24"/>
        </w:rPr>
        <w:fldChar w:fldCharType="separate"/>
      </w:r>
      <w:r w:rsidRPr="002502D6">
        <w:rPr>
          <w:noProof/>
          <w:szCs w:val="24"/>
        </w:rPr>
        <w:t>________</w:t>
      </w:r>
      <w:r w:rsidRPr="002502D6">
        <w:rPr>
          <w:szCs w:val="24"/>
        </w:rPr>
        <w:fldChar w:fldCharType="end"/>
      </w:r>
      <w:bookmarkEnd w:id="3"/>
      <w:r w:rsidRPr="002502D6">
        <w:rPr>
          <w:szCs w:val="24"/>
        </w:rPr>
        <w:tab/>
      </w:r>
      <w:r w:rsidRPr="002502D6">
        <w:rPr>
          <w:szCs w:val="24"/>
        </w:rPr>
        <w:br/>
        <w:t xml:space="preserve">Dienstzeiten: </w:t>
      </w:r>
      <w:bookmarkStart w:id="4" w:name="Text11"/>
      <w:r w:rsidRPr="002502D6">
        <w:rPr>
          <w:szCs w:val="24"/>
        </w:rPr>
        <w:tab/>
      </w:r>
      <w:r w:rsidRPr="002502D6">
        <w:rPr>
          <w:szCs w:val="24"/>
        </w:rPr>
        <w:fldChar w:fldCharType="begin">
          <w:ffData>
            <w:name w:val="Text11"/>
            <w:enabled/>
            <w:calcOnExit w:val="0"/>
            <w:textInput>
              <w:default w:val="______________________________"/>
            </w:textInput>
          </w:ffData>
        </w:fldChar>
      </w:r>
      <w:r w:rsidRPr="002502D6">
        <w:rPr>
          <w:szCs w:val="24"/>
        </w:rPr>
        <w:instrText xml:space="preserve"> FORMTEXT </w:instrText>
      </w:r>
      <w:r w:rsidRPr="002502D6">
        <w:rPr>
          <w:szCs w:val="24"/>
        </w:rPr>
      </w:r>
      <w:r w:rsidRPr="002502D6">
        <w:rPr>
          <w:szCs w:val="24"/>
        </w:rPr>
        <w:fldChar w:fldCharType="separate"/>
      </w:r>
      <w:r w:rsidRPr="002502D6">
        <w:rPr>
          <w:noProof/>
          <w:szCs w:val="24"/>
        </w:rPr>
        <w:t>______________________________</w:t>
      </w:r>
      <w:r w:rsidRPr="002502D6">
        <w:rPr>
          <w:szCs w:val="24"/>
        </w:rPr>
        <w:fldChar w:fldCharType="end"/>
      </w:r>
      <w:bookmarkEnd w:id="4"/>
      <w:r w:rsidRPr="006B0AF6">
        <w:rPr>
          <w:szCs w:val="24"/>
        </w:rPr>
        <w:tab/>
      </w:r>
      <w:r w:rsidRPr="006B0AF6">
        <w:rPr>
          <w:szCs w:val="24"/>
        </w:rPr>
        <w:br/>
      </w:r>
    </w:p>
    <w:p w:rsidR="006175A3" w:rsidRDefault="006175A3" w:rsidP="006175A3">
      <w:pPr>
        <w:widowControl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right="-113" w:hanging="284"/>
        <w:jc w:val="both"/>
        <w:rPr>
          <w:szCs w:val="24"/>
        </w:rPr>
      </w:pPr>
      <w:r w:rsidRPr="006B0AF6">
        <w:rPr>
          <w:szCs w:val="24"/>
        </w:rPr>
        <w:t xml:space="preserve">Jeder, dessen Belange durch das Vorhaben berührt werden, kann bis </w:t>
      </w:r>
      <w:r>
        <w:rPr>
          <w:szCs w:val="24"/>
        </w:rPr>
        <w:t>2 Wochen nach Ablauf der</w:t>
      </w:r>
      <w:r w:rsidRPr="006B0AF6">
        <w:rPr>
          <w:szCs w:val="24"/>
        </w:rPr>
        <w:t xml:space="preserve"> Auslegungsfrist schriftlich oder zur Niederschrift Einwendungen erheben.</w:t>
      </w:r>
    </w:p>
    <w:p w:rsidR="006175A3" w:rsidRDefault="006175A3" w:rsidP="006D48E9">
      <w:pPr>
        <w:spacing w:line="276" w:lineRule="auto"/>
        <w:ind w:left="284" w:right="-113"/>
        <w:jc w:val="both"/>
        <w:rPr>
          <w:szCs w:val="24"/>
        </w:rPr>
      </w:pPr>
      <w:r>
        <w:rPr>
          <w:szCs w:val="24"/>
        </w:rPr>
        <w:br/>
        <w:t xml:space="preserve">Diese Einwendungen müssen also </w:t>
      </w:r>
      <w:r w:rsidRPr="006B0AF6">
        <w:rPr>
          <w:szCs w:val="24"/>
        </w:rPr>
        <w:t xml:space="preserve">bis spätestens </w:t>
      </w:r>
      <w:bookmarkStart w:id="5" w:name="Text12"/>
      <w:r w:rsidRPr="006B0AF6">
        <w:rPr>
          <w:szCs w:val="24"/>
        </w:rPr>
        <w:fldChar w:fldCharType="begin">
          <w:ffData>
            <w:name w:val="Text12"/>
            <w:enabled/>
            <w:calcOnExit w:val="0"/>
            <w:textInput>
              <w:default w:val="________"/>
            </w:textInput>
          </w:ffData>
        </w:fldChar>
      </w:r>
      <w:r w:rsidRPr="006B0AF6">
        <w:rPr>
          <w:szCs w:val="24"/>
        </w:rPr>
        <w:instrText xml:space="preserve"> FORMTEXT </w:instrText>
      </w:r>
      <w:r w:rsidRPr="006B0AF6">
        <w:rPr>
          <w:szCs w:val="24"/>
        </w:rPr>
      </w:r>
      <w:r w:rsidRPr="006B0AF6">
        <w:rPr>
          <w:szCs w:val="24"/>
        </w:rPr>
        <w:fldChar w:fldCharType="separate"/>
      </w:r>
      <w:r w:rsidRPr="006B0AF6">
        <w:rPr>
          <w:noProof/>
          <w:szCs w:val="24"/>
        </w:rPr>
        <w:t>________</w:t>
      </w:r>
      <w:r w:rsidRPr="006B0AF6">
        <w:rPr>
          <w:szCs w:val="24"/>
        </w:rPr>
        <w:fldChar w:fldCharType="end"/>
      </w:r>
      <w:bookmarkEnd w:id="5"/>
      <w:r w:rsidRPr="006B0AF6">
        <w:rPr>
          <w:szCs w:val="24"/>
        </w:rPr>
        <w:t xml:space="preserve"> einschließlich entweder bei der unter Nr. 2 genannten Behörde oder bei der Struktur- und Geneh</w:t>
      </w:r>
      <w:r>
        <w:rPr>
          <w:szCs w:val="24"/>
        </w:rPr>
        <w:t>migungs</w:t>
      </w:r>
      <w:r>
        <w:rPr>
          <w:szCs w:val="24"/>
        </w:rPr>
        <w:softHyphen/>
        <w:t>direktion Nord, Regional</w:t>
      </w:r>
      <w:r w:rsidRPr="006B0AF6">
        <w:rPr>
          <w:szCs w:val="24"/>
        </w:rPr>
        <w:t>stelle Wasserwirtschaft, Abfallwirtschaft, Bod</w:t>
      </w:r>
      <w:r>
        <w:rPr>
          <w:szCs w:val="24"/>
        </w:rPr>
        <w:t xml:space="preserve">enschutz Koblenz, </w:t>
      </w:r>
      <w:r w:rsidR="002E2FB8">
        <w:rPr>
          <w:szCs w:val="24"/>
        </w:rPr>
        <w:t>Stresemannstr. 3-5</w:t>
      </w:r>
      <w:bookmarkStart w:id="6" w:name="_GoBack"/>
      <w:bookmarkEnd w:id="6"/>
      <w:r>
        <w:rPr>
          <w:szCs w:val="24"/>
        </w:rPr>
        <w:t>, 56068 Kob</w:t>
      </w:r>
      <w:r w:rsidRPr="006B0AF6">
        <w:rPr>
          <w:szCs w:val="24"/>
        </w:rPr>
        <w:t>lenz, erhoben werden.</w:t>
      </w:r>
      <w:r w:rsidRPr="006B0AF6">
        <w:rPr>
          <w:szCs w:val="24"/>
        </w:rPr>
        <w:tab/>
      </w:r>
      <w:r w:rsidRPr="006B0AF6">
        <w:rPr>
          <w:szCs w:val="24"/>
        </w:rPr>
        <w:br/>
      </w:r>
      <w:r w:rsidRPr="006B0AF6">
        <w:rPr>
          <w:szCs w:val="24"/>
        </w:rPr>
        <w:br/>
        <w:t>Das Datum des Eingangs bei den erwähnten Behörden is</w:t>
      </w:r>
      <w:r>
        <w:rPr>
          <w:szCs w:val="24"/>
        </w:rPr>
        <w:t>t maßgebend. Mit Ablauf der Ein</w:t>
      </w:r>
      <w:r w:rsidRPr="006B0AF6">
        <w:rPr>
          <w:szCs w:val="24"/>
        </w:rPr>
        <w:t>wendungsfrist werden alle Einwendungen ausgeschlossen, die nicht auf besonde</w:t>
      </w:r>
      <w:r>
        <w:rPr>
          <w:szCs w:val="24"/>
        </w:rPr>
        <w:t>ren privat</w:t>
      </w:r>
      <w:r w:rsidRPr="006B0AF6">
        <w:rPr>
          <w:szCs w:val="24"/>
        </w:rPr>
        <w:t>rechtlichen Titeln beruhen.</w:t>
      </w:r>
      <w:r w:rsidRPr="006B0AF6">
        <w:rPr>
          <w:szCs w:val="24"/>
        </w:rPr>
        <w:tab/>
      </w:r>
      <w:r w:rsidRPr="006B0AF6">
        <w:rPr>
          <w:szCs w:val="24"/>
        </w:rPr>
        <w:br/>
      </w:r>
    </w:p>
    <w:p w:rsidR="006175A3" w:rsidRPr="006B0AF6" w:rsidRDefault="006175A3" w:rsidP="006D48E9">
      <w:pPr>
        <w:spacing w:line="276" w:lineRule="auto"/>
        <w:ind w:left="284" w:right="-113"/>
        <w:jc w:val="both"/>
        <w:rPr>
          <w:szCs w:val="24"/>
        </w:rPr>
      </w:pPr>
    </w:p>
    <w:p w:rsidR="006175A3" w:rsidRDefault="006175A3" w:rsidP="006175A3">
      <w:pPr>
        <w:widowControl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szCs w:val="24"/>
        </w:rPr>
      </w:pPr>
      <w:r w:rsidRPr="006B0AF6">
        <w:rPr>
          <w:szCs w:val="24"/>
        </w:rPr>
        <w:t>Nach Ablauf der Einwendungsfrist werden die rechtzeitig erhobenen Einwendungen und die Stellungnahmen der Behörden mit dem Träger des Vorha</w:t>
      </w:r>
      <w:r>
        <w:rPr>
          <w:szCs w:val="24"/>
        </w:rPr>
        <w:t>bens, den Behörden und den Per</w:t>
      </w:r>
      <w:r w:rsidRPr="006B0AF6">
        <w:rPr>
          <w:szCs w:val="24"/>
        </w:rPr>
        <w:t>sonen, die Einwendungen erhoben haben, in einem Termin erörtert.</w:t>
      </w:r>
      <w:r w:rsidRPr="006B0AF6">
        <w:rPr>
          <w:szCs w:val="24"/>
        </w:rPr>
        <w:tab/>
      </w:r>
      <w:r w:rsidRPr="006B0AF6">
        <w:rPr>
          <w:szCs w:val="24"/>
        </w:rPr>
        <w:br/>
      </w:r>
      <w:r w:rsidRPr="006B0AF6">
        <w:rPr>
          <w:szCs w:val="24"/>
        </w:rPr>
        <w:br/>
      </w:r>
      <w:r w:rsidRPr="006B0AF6">
        <w:rPr>
          <w:szCs w:val="24"/>
        </w:rPr>
        <w:lastRenderedPageBreak/>
        <w:t xml:space="preserve">Dieser Erörterungstermin wird mindestens </w:t>
      </w:r>
      <w:r>
        <w:rPr>
          <w:szCs w:val="24"/>
        </w:rPr>
        <w:t>1</w:t>
      </w:r>
      <w:r w:rsidRPr="006B0AF6">
        <w:rPr>
          <w:szCs w:val="24"/>
        </w:rPr>
        <w:t xml:space="preserve"> Woche vorher ortsüblich bekannt gemacht. Die Behörden, der Träger des Vorhabens und diejenigen, die Einwendungen</w:t>
      </w:r>
      <w:r>
        <w:rPr>
          <w:szCs w:val="24"/>
        </w:rPr>
        <w:t xml:space="preserve"> erhoben haben, wer</w:t>
      </w:r>
      <w:r w:rsidRPr="006B0AF6">
        <w:rPr>
          <w:szCs w:val="24"/>
        </w:rPr>
        <w:t>den von dem Erörterungstermin benachrichtigt.</w:t>
      </w:r>
      <w:r w:rsidRPr="006B0AF6">
        <w:rPr>
          <w:szCs w:val="24"/>
        </w:rPr>
        <w:tab/>
      </w:r>
      <w:r w:rsidRPr="006B0AF6">
        <w:rPr>
          <w:szCs w:val="24"/>
        </w:rPr>
        <w:br/>
      </w:r>
      <w:r w:rsidRPr="006B0AF6">
        <w:rPr>
          <w:szCs w:val="24"/>
        </w:rPr>
        <w:br/>
        <w:t>Beim Ausbleiben eines Beteiligten kann auch ohne ihn im E</w:t>
      </w:r>
      <w:r>
        <w:rPr>
          <w:szCs w:val="24"/>
        </w:rPr>
        <w:t>rörterungstermin ver</w:t>
      </w:r>
      <w:r>
        <w:rPr>
          <w:szCs w:val="24"/>
        </w:rPr>
        <w:softHyphen/>
        <w:t>handelt wer</w:t>
      </w:r>
      <w:r w:rsidRPr="006B0AF6">
        <w:rPr>
          <w:szCs w:val="24"/>
        </w:rPr>
        <w:t>den.</w:t>
      </w:r>
      <w:r w:rsidRPr="006B0AF6">
        <w:rPr>
          <w:szCs w:val="24"/>
        </w:rPr>
        <w:tab/>
      </w:r>
      <w:r w:rsidRPr="006B0AF6">
        <w:rPr>
          <w:szCs w:val="24"/>
        </w:rPr>
        <w:br/>
      </w:r>
    </w:p>
    <w:p w:rsidR="006175A3" w:rsidRPr="006B0AF6" w:rsidRDefault="006175A3" w:rsidP="006D48E9">
      <w:pPr>
        <w:spacing w:line="276" w:lineRule="auto"/>
        <w:ind w:left="284"/>
        <w:jc w:val="both"/>
        <w:rPr>
          <w:szCs w:val="24"/>
        </w:rPr>
      </w:pPr>
    </w:p>
    <w:p w:rsidR="006175A3" w:rsidRPr="006B0AF6" w:rsidRDefault="006175A3" w:rsidP="006175A3">
      <w:pPr>
        <w:widowControl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szCs w:val="24"/>
        </w:rPr>
      </w:pPr>
      <w:r w:rsidRPr="006B0AF6">
        <w:rPr>
          <w:szCs w:val="24"/>
        </w:rPr>
        <w:t>Bei mehr als 50 vorzunehmenden Benachrichtigungen oder Zustellung</w:t>
      </w:r>
      <w:r w:rsidRPr="006B0AF6">
        <w:rPr>
          <w:szCs w:val="24"/>
        </w:rPr>
        <w:tab/>
      </w:r>
      <w:r w:rsidRPr="006B0AF6">
        <w:rPr>
          <w:szCs w:val="24"/>
        </w:rPr>
        <w:br/>
      </w:r>
    </w:p>
    <w:p w:rsidR="006175A3" w:rsidRPr="006B0AF6" w:rsidRDefault="006175A3" w:rsidP="006175A3">
      <w:pPr>
        <w:widowControl/>
        <w:numPr>
          <w:ilvl w:val="0"/>
          <w:numId w:val="2"/>
        </w:numPr>
        <w:tabs>
          <w:tab w:val="clear" w:pos="425"/>
          <w:tab w:val="num" w:pos="567"/>
        </w:tabs>
        <w:spacing w:line="276" w:lineRule="auto"/>
        <w:ind w:left="567" w:hanging="283"/>
        <w:rPr>
          <w:szCs w:val="24"/>
        </w:rPr>
      </w:pPr>
      <w:r w:rsidRPr="006B0AF6">
        <w:rPr>
          <w:szCs w:val="24"/>
        </w:rPr>
        <w:t>können die Personen, die Einwendungen erhoben haben, von dem Erörterungs</w:t>
      </w:r>
      <w:r>
        <w:rPr>
          <w:szCs w:val="24"/>
        </w:rPr>
        <w:softHyphen/>
      </w:r>
      <w:r w:rsidRPr="006B0AF6">
        <w:rPr>
          <w:szCs w:val="24"/>
        </w:rPr>
        <w:t>termin durch öffentliche Bekanntmachung benachrichtigt werden,</w:t>
      </w:r>
      <w:r w:rsidRPr="006B0AF6">
        <w:rPr>
          <w:szCs w:val="24"/>
        </w:rPr>
        <w:tab/>
      </w:r>
      <w:r w:rsidRPr="006B0AF6">
        <w:rPr>
          <w:szCs w:val="24"/>
        </w:rPr>
        <w:br/>
      </w:r>
    </w:p>
    <w:p w:rsidR="006175A3" w:rsidRDefault="006175A3" w:rsidP="006175A3">
      <w:pPr>
        <w:widowControl/>
        <w:numPr>
          <w:ilvl w:val="0"/>
          <w:numId w:val="2"/>
        </w:numPr>
        <w:tabs>
          <w:tab w:val="clear" w:pos="425"/>
          <w:tab w:val="num" w:pos="567"/>
        </w:tabs>
        <w:spacing w:line="276" w:lineRule="auto"/>
        <w:ind w:left="567" w:hanging="283"/>
        <w:rPr>
          <w:szCs w:val="24"/>
        </w:rPr>
      </w:pPr>
      <w:r w:rsidRPr="006B0AF6">
        <w:rPr>
          <w:szCs w:val="24"/>
        </w:rPr>
        <w:t>kann die Zustellung der Entscheidung über die Einwendungen auch durch öffentliche Bekanntmachung ersetzt werden.</w:t>
      </w:r>
      <w:r w:rsidRPr="006B0AF6">
        <w:rPr>
          <w:szCs w:val="24"/>
        </w:rPr>
        <w:tab/>
      </w:r>
      <w:r w:rsidRPr="006B0AF6">
        <w:rPr>
          <w:szCs w:val="24"/>
        </w:rPr>
        <w:br/>
      </w:r>
    </w:p>
    <w:p w:rsidR="006175A3" w:rsidRDefault="006175A3" w:rsidP="006D48E9">
      <w:pPr>
        <w:spacing w:line="276" w:lineRule="auto"/>
        <w:ind w:left="567"/>
        <w:rPr>
          <w:szCs w:val="24"/>
        </w:rPr>
      </w:pPr>
    </w:p>
    <w:p w:rsidR="006175A3" w:rsidRPr="006B0AF6" w:rsidRDefault="006175A3" w:rsidP="006D48E9">
      <w:pPr>
        <w:spacing w:line="276" w:lineRule="auto"/>
        <w:ind w:left="567"/>
        <w:rPr>
          <w:szCs w:val="24"/>
        </w:rPr>
      </w:pPr>
    </w:p>
    <w:p w:rsidR="006175A3" w:rsidRPr="006B0AF6" w:rsidRDefault="006175A3" w:rsidP="006175A3">
      <w:pPr>
        <w:widowControl/>
        <w:numPr>
          <w:ilvl w:val="0"/>
          <w:numId w:val="3"/>
        </w:numPr>
        <w:tabs>
          <w:tab w:val="clear" w:pos="425"/>
          <w:tab w:val="num" w:pos="284"/>
        </w:tabs>
        <w:spacing w:line="276" w:lineRule="auto"/>
        <w:ind w:left="284" w:hanging="284"/>
        <w:jc w:val="both"/>
        <w:rPr>
          <w:szCs w:val="24"/>
        </w:rPr>
      </w:pPr>
      <w:r w:rsidRPr="006B0AF6">
        <w:rPr>
          <w:szCs w:val="24"/>
        </w:rPr>
        <w:t>Die Einwendungen werden dem Antragsteller und den beteiligten Behör</w:t>
      </w:r>
      <w:r>
        <w:rPr>
          <w:szCs w:val="24"/>
        </w:rPr>
        <w:t>den, die in ihrem Auf</w:t>
      </w:r>
      <w:r w:rsidRPr="006B0AF6">
        <w:rPr>
          <w:szCs w:val="24"/>
        </w:rPr>
        <w:t>gabenbereich berührt werden, bekannt gegeben.</w:t>
      </w:r>
      <w:r w:rsidRPr="006B0AF6">
        <w:rPr>
          <w:szCs w:val="24"/>
        </w:rPr>
        <w:tab/>
      </w:r>
      <w:r w:rsidRPr="006B0AF6">
        <w:rPr>
          <w:szCs w:val="24"/>
        </w:rPr>
        <w:br/>
      </w:r>
      <w:r w:rsidRPr="006B0AF6">
        <w:rPr>
          <w:szCs w:val="24"/>
        </w:rPr>
        <w:br/>
        <w:t>Der Einwendungsführer kann verlangen, dass Name und Anschrift vor der o. g. Bekanntgabe unkenntlich gemacht werden, wenn diese Angaben zur ordnungs</w:t>
      </w:r>
      <w:r>
        <w:rPr>
          <w:szCs w:val="24"/>
        </w:rPr>
        <w:softHyphen/>
      </w:r>
      <w:r w:rsidRPr="006B0AF6">
        <w:rPr>
          <w:szCs w:val="24"/>
        </w:rPr>
        <w:t>gemäßen Durchführung des Zulassungsverfahrens nicht erforderlich sind.</w:t>
      </w:r>
    </w:p>
    <w:p w:rsidR="006175A3" w:rsidRPr="006B0AF6" w:rsidRDefault="006175A3" w:rsidP="006D48E9">
      <w:pPr>
        <w:tabs>
          <w:tab w:val="num" w:pos="284"/>
        </w:tabs>
        <w:spacing w:line="276" w:lineRule="auto"/>
        <w:ind w:left="284" w:hanging="284"/>
        <w:jc w:val="both"/>
        <w:rPr>
          <w:szCs w:val="24"/>
        </w:rPr>
      </w:pPr>
    </w:p>
    <w:p w:rsidR="006175A3" w:rsidRPr="006B0AF6" w:rsidRDefault="006175A3" w:rsidP="006D48E9">
      <w:pPr>
        <w:spacing w:line="276" w:lineRule="auto"/>
        <w:jc w:val="both"/>
        <w:rPr>
          <w:szCs w:val="24"/>
        </w:rPr>
      </w:pPr>
    </w:p>
    <w:p w:rsidR="006175A3" w:rsidRPr="006B0AF6" w:rsidRDefault="006175A3" w:rsidP="006D48E9">
      <w:pPr>
        <w:spacing w:line="276" w:lineRule="auto"/>
        <w:jc w:val="both"/>
        <w:rPr>
          <w:szCs w:val="24"/>
        </w:rPr>
      </w:pPr>
    </w:p>
    <w:p w:rsidR="006175A3" w:rsidRPr="006B0AF6" w:rsidRDefault="006175A3" w:rsidP="006D48E9">
      <w:pPr>
        <w:spacing w:line="276" w:lineRule="auto"/>
        <w:jc w:val="both"/>
        <w:rPr>
          <w:szCs w:val="24"/>
        </w:rPr>
      </w:pPr>
    </w:p>
    <w:p w:rsidR="006175A3" w:rsidRPr="006B0AF6" w:rsidRDefault="006175A3" w:rsidP="006D48E9">
      <w:pPr>
        <w:spacing w:line="276" w:lineRule="auto"/>
        <w:jc w:val="both"/>
        <w:rPr>
          <w:szCs w:val="24"/>
        </w:rPr>
      </w:pPr>
    </w:p>
    <w:p w:rsidR="006175A3" w:rsidRDefault="006175A3" w:rsidP="006D48E9">
      <w:pPr>
        <w:tabs>
          <w:tab w:val="left" w:pos="5670"/>
        </w:tabs>
        <w:jc w:val="both"/>
        <w:rPr>
          <w:szCs w:val="24"/>
        </w:rPr>
      </w:pPr>
      <w:r>
        <w:rPr>
          <w:szCs w:val="24"/>
        </w:rPr>
        <w:t>_____________________________               ____________________________</w:t>
      </w:r>
    </w:p>
    <w:p w:rsidR="006175A3" w:rsidRPr="006B0AF6" w:rsidRDefault="006175A3" w:rsidP="006D48E9">
      <w:pPr>
        <w:tabs>
          <w:tab w:val="left" w:pos="1418"/>
          <w:tab w:val="left" w:pos="5670"/>
          <w:tab w:val="left" w:pos="6804"/>
        </w:tabs>
        <w:jc w:val="both"/>
        <w:rPr>
          <w:szCs w:val="24"/>
        </w:rPr>
      </w:pPr>
      <w:r>
        <w:rPr>
          <w:szCs w:val="24"/>
        </w:rPr>
        <w:tab/>
        <w:t>Ort, Datum</w:t>
      </w:r>
      <w:r>
        <w:rPr>
          <w:szCs w:val="24"/>
        </w:rPr>
        <w:tab/>
        <w:t>Bürgermeister</w:t>
      </w:r>
    </w:p>
    <w:p w:rsidR="00A60C45" w:rsidRDefault="00A60C45"/>
    <w:sectPr w:rsidR="00A60C45" w:rsidSect="00F77697">
      <w:headerReference w:type="default" r:id="rId7"/>
      <w:headerReference w:type="first" r:id="rId8"/>
      <w:footerReference w:type="first" r:id="rId9"/>
      <w:pgSz w:w="11906" w:h="16838" w:code="9"/>
      <w:pgMar w:top="2688" w:right="1304" w:bottom="147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CC2" w:rsidRDefault="008D1CC2" w:rsidP="008D1CC2">
      <w:pPr>
        <w:spacing w:line="240" w:lineRule="auto"/>
      </w:pPr>
      <w:r>
        <w:separator/>
      </w:r>
    </w:p>
  </w:endnote>
  <w:endnote w:type="continuationSeparator" w:id="0">
    <w:p w:rsidR="008D1CC2" w:rsidRDefault="008D1CC2" w:rsidP="008D1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26" w:rsidRDefault="00EA15A6">
    <w:pPr>
      <w:jc w:val="right"/>
      <w:rPr>
        <w:vanish/>
      </w:rPr>
    </w:pPr>
    <w:r>
      <w:rPr>
        <w:vanish/>
        <w:sz w:val="16"/>
      </w:rPr>
      <w:fldChar w:fldCharType="begin"/>
    </w:r>
    <w:r>
      <w:rPr>
        <w:vanish/>
        <w:sz w:val="16"/>
      </w:rPr>
      <w:instrText xml:space="preserve"> FILENAME \p \* MERGEFORMAT </w:instrText>
    </w:r>
    <w:r>
      <w:rPr>
        <w:vanish/>
        <w:sz w:val="16"/>
      </w:rPr>
      <w:fldChar w:fldCharType="separate"/>
    </w:r>
    <w:r w:rsidR="00F77697">
      <w:rPr>
        <w:noProof/>
        <w:vanish/>
        <w:sz w:val="16"/>
      </w:rPr>
      <w:t>G:\Ref. 32\Post\131\00\077\V32\SW_Sinzig_Niederau\16-031\170109 Bekanntmachung.docx</w:t>
    </w:r>
    <w:r>
      <w:rPr>
        <w:vanish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CC2" w:rsidRDefault="008D1CC2" w:rsidP="008D1CC2">
      <w:pPr>
        <w:spacing w:line="240" w:lineRule="auto"/>
      </w:pPr>
      <w:r>
        <w:separator/>
      </w:r>
    </w:p>
  </w:footnote>
  <w:footnote w:type="continuationSeparator" w:id="0">
    <w:p w:rsidR="008D1CC2" w:rsidRDefault="008D1CC2" w:rsidP="008D1C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26" w:rsidRDefault="00EA15A6">
    <w:pPr>
      <w:pStyle w:val="Kopfzeile"/>
      <w:pBdr>
        <w:bottom w:val="single" w:sz="4" w:space="1" w:color="auto"/>
      </w:pBdr>
      <w:jc w:val="center"/>
      <w:rPr>
        <w:sz w:val="16"/>
      </w:rPr>
    </w:pPr>
    <w:r>
      <w:rPr>
        <w:sz w:val="16"/>
      </w:rPr>
      <w:t>Struktur- und Genehmigungsdirektion Nord</w:t>
    </w:r>
  </w:p>
  <w:p w:rsidR="00347D26" w:rsidRDefault="00EA15A6">
    <w:pPr>
      <w:pStyle w:val="Kopfzeile"/>
      <w:pBdr>
        <w:bottom w:val="single" w:sz="4" w:space="1" w:color="auto"/>
      </w:pBdr>
      <w:jc w:val="center"/>
      <w:rPr>
        <w:rStyle w:val="Seitenzahl"/>
        <w:sz w:val="16"/>
      </w:rPr>
    </w:pPr>
    <w:r>
      <w:rPr>
        <w:rStyle w:val="Seitenzahl"/>
        <w:sz w:val="16"/>
      </w:rPr>
      <w:t>Regionalstelle Wasserwirtschaft, Abfallwirtschaft, Bodenschutz Koblenz</w:t>
    </w:r>
  </w:p>
  <w:p w:rsidR="00347D26" w:rsidRDefault="002E2FB8">
    <w:pPr>
      <w:pStyle w:val="Kopfzeile"/>
      <w:rPr>
        <w:rStyle w:val="Seitenzahl"/>
        <w:sz w:val="16"/>
      </w:rPr>
    </w:pPr>
  </w:p>
  <w:p w:rsidR="00347D26" w:rsidRDefault="00EA15A6">
    <w:pPr>
      <w:pStyle w:val="Kopfzeile"/>
      <w:jc w:val="center"/>
      <w:rPr>
        <w:rStyle w:val="Seitenzahl"/>
        <w:sz w:val="16"/>
      </w:rPr>
    </w:pPr>
    <w:r>
      <w:rPr>
        <w:rStyle w:val="Seitenzahl"/>
        <w:sz w:val="16"/>
      </w:rPr>
      <w:t xml:space="preserve">-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E2FB8">
      <w:rPr>
        <w:rStyle w:val="Seitenzahl"/>
        <w:noProof/>
        <w:sz w:val="16"/>
      </w:rPr>
      <w:t>3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-</w:t>
    </w:r>
  </w:p>
  <w:p w:rsidR="00347D26" w:rsidRDefault="002E2FB8">
    <w:pPr>
      <w:pStyle w:val="Kopfzeile"/>
      <w:rPr>
        <w:sz w:val="16"/>
      </w:rPr>
    </w:pPr>
  </w:p>
  <w:p w:rsidR="00347D26" w:rsidRDefault="002E2FB8">
    <w:pPr>
      <w:pStyle w:val="Kopfzeile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26" w:rsidRDefault="00EA15A6">
    <w:pPr>
      <w:pStyle w:val="Kopfzeile"/>
      <w:jc w:val="center"/>
      <w:rPr>
        <w:b/>
        <w:vanish/>
      </w:rPr>
    </w:pPr>
    <w:r>
      <w:rPr>
        <w:b/>
        <w:vanish/>
      </w:rPr>
      <w:t>- E n t w u r f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4A8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02056E"/>
    <w:multiLevelType w:val="singleLevel"/>
    <w:tmpl w:val="D2F6D87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24A6257B"/>
    <w:multiLevelType w:val="singleLevel"/>
    <w:tmpl w:val="30E053E0"/>
    <w:lvl w:ilvl="0">
      <w:start w:val="6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9B"/>
    <w:rsid w:val="0003189B"/>
    <w:rsid w:val="000C5833"/>
    <w:rsid w:val="000D3846"/>
    <w:rsid w:val="002502D6"/>
    <w:rsid w:val="002E2FB8"/>
    <w:rsid w:val="0038195C"/>
    <w:rsid w:val="006175A3"/>
    <w:rsid w:val="008D1CC2"/>
    <w:rsid w:val="00951FF0"/>
    <w:rsid w:val="00964B77"/>
    <w:rsid w:val="00A60C45"/>
    <w:rsid w:val="00A944E6"/>
    <w:rsid w:val="00AA22D8"/>
    <w:rsid w:val="00AE5DC2"/>
    <w:rsid w:val="00C51D71"/>
    <w:rsid w:val="00C96178"/>
    <w:rsid w:val="00EA15A6"/>
    <w:rsid w:val="00F36E3A"/>
    <w:rsid w:val="00F7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71F51-36B5-4B26-BAB5-D1F58C84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95C"/>
    <w:pPr>
      <w:widowControl w:val="0"/>
      <w:spacing w:after="0" w:line="360" w:lineRule="exact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175A3"/>
    <w:pPr>
      <w:widowControl/>
      <w:tabs>
        <w:tab w:val="center" w:pos="4536"/>
        <w:tab w:val="right" w:pos="9072"/>
      </w:tabs>
      <w:spacing w:line="240" w:lineRule="auto"/>
    </w:pPr>
    <w:rPr>
      <w:rFonts w:eastAsia="Times New Roman" w:cs="Times New Roman"/>
      <w:sz w:val="22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175A3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6175A3"/>
    <w:pPr>
      <w:widowControl/>
      <w:tabs>
        <w:tab w:val="center" w:pos="4536"/>
        <w:tab w:val="right" w:pos="9072"/>
      </w:tabs>
      <w:spacing w:line="240" w:lineRule="auto"/>
    </w:pPr>
    <w:rPr>
      <w:rFonts w:eastAsia="Times New Roman" w:cs="Times New Roman"/>
      <w:sz w:val="22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6175A3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semiHidden/>
    <w:rsid w:val="006175A3"/>
  </w:style>
  <w:style w:type="paragraph" w:customStyle="1" w:styleId="Num">
    <w:name w:val="Num"/>
    <w:basedOn w:val="Standard"/>
    <w:rsid w:val="006175A3"/>
    <w:pPr>
      <w:widowControl/>
      <w:spacing w:line="240" w:lineRule="auto"/>
      <w:ind w:left="567" w:hanging="567"/>
    </w:pPr>
    <w:rPr>
      <w:rFonts w:eastAsia="Times New Roman" w:cs="Times New Roman"/>
      <w:sz w:val="22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6175A3"/>
    <w:pPr>
      <w:widowControl/>
      <w:spacing w:line="240" w:lineRule="auto"/>
      <w:ind w:left="284"/>
      <w:jc w:val="both"/>
    </w:pPr>
    <w:rPr>
      <w:rFonts w:eastAsia="Times New Roman" w:cs="Times New Roman"/>
      <w:sz w:val="22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6175A3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uiPriority w:val="99"/>
    <w:semiHidden/>
    <w:unhideWhenUsed/>
    <w:rsid w:val="006175A3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75A3"/>
    <w:pPr>
      <w:widowControl/>
      <w:spacing w:line="240" w:lineRule="auto"/>
    </w:pPr>
    <w:rPr>
      <w:rFonts w:eastAsia="Calibri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75A3"/>
    <w:rPr>
      <w:rFonts w:ascii="Arial" w:eastAsia="Calibri" w:hAnsi="Arial" w:cs="Arial"/>
      <w:sz w:val="20"/>
      <w:szCs w:val="20"/>
    </w:rPr>
  </w:style>
  <w:style w:type="character" w:styleId="Kommentarzeichen">
    <w:name w:val="annotation reference"/>
    <w:uiPriority w:val="99"/>
    <w:semiHidden/>
    <w:unhideWhenUsed/>
    <w:rsid w:val="006175A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8E4FF556.dotm</Template>
  <TotalTime>0</TotalTime>
  <Pages>3</Pages>
  <Words>606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Nord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Heintz, Anne</dc:creator>
  <cp:lastModifiedBy>Dillenberger, Andreas</cp:lastModifiedBy>
  <cp:revision>2</cp:revision>
  <cp:lastPrinted>2017-01-05T09:41:00Z</cp:lastPrinted>
  <dcterms:created xsi:type="dcterms:W3CDTF">2022-09-20T09:15:00Z</dcterms:created>
  <dcterms:modified xsi:type="dcterms:W3CDTF">2022-09-20T09:15:00Z</dcterms:modified>
</cp:coreProperties>
</file>