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 xml:space="preserve">: W-70 - 2023 - 30522 geführten wasserrechtlichen Genehmigungsverfahrens nach § 68 Wasserhaushaltsgesetz - WHG –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 xml:space="preserve">: Verbandsgemeinde Vordereifel, 56727 Mayen, Kelberger Straße 26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Virneburg, Flur 4, Flurstücke 768/494, 767/494, 766/494, 720/495, 721/495, 496, 498, 499, 500, 718/501, 719/501, 765/492, 484/3, Flur 6, Flurstücke 179/3, 169/1, 323/177, 395/178, 437/179, 181/3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Gewässerausbau im Sinne §§ 67, 68 Wasserhaushaltsgesetz (WHG), für das gem. § 7 Abs. 2 i.V.m. Nr. 13.18.2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09.06.2023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p>
      <w:pPr>
        <w:rPr>
          <w:rFonts w:cs="Arial"/>
          <w:szCs w:val="22"/>
          <w:lang w:val="en-US"/>
        </w:rPr>
      </w:pP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2013-06-12T10:01:00Z</cp:lastPrinted>
  <dcterms:created xsi:type="dcterms:W3CDTF">2023-06-09T10:16:00Z</dcterms:created>
  <dcterms:modified xsi:type="dcterms:W3CDTF">2023-06-09T10:16:00Z</dcterms:modified>
</cp:coreProperties>
</file>