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4.0 -->
  <w:body>
    <w:p w:rsidR="0096391C" w:rsidP="00313B6A"/>
    <w:p w:rsidR="00313B6A" w:rsidP="00313B6A"/>
    <w:p w:rsidR="00313B6A" w:rsidP="00313B6A"/>
    <w:p w:rsidR="00313B6A" w:rsidP="006779D7">
      <w:pPr>
        <w:jc w:val="center"/>
        <w:rPr>
          <w:b/>
          <w:sz w:val="28"/>
        </w:rPr>
      </w:pPr>
      <w:r w:rsidRPr="006779D7">
        <w:rPr>
          <w:b/>
          <w:sz w:val="28"/>
        </w:rPr>
        <w:t>Öffentliche Bekanntmachung</w:t>
      </w:r>
    </w:p>
    <w:p w:rsidR="009A6E8D" w:rsidP="006779D7">
      <w:pPr>
        <w:jc w:val="center"/>
        <w:rPr>
          <w:b/>
          <w:sz w:val="28"/>
        </w:rPr>
      </w:pPr>
    </w:p>
    <w:p w:rsidR="009A6E8D" w:rsidRPr="009A6E8D" w:rsidP="009A6E8D">
      <w:pPr>
        <w:jc w:val="center"/>
        <w:rPr>
          <w:b/>
          <w:sz w:val="24"/>
        </w:rPr>
      </w:pPr>
      <w:bookmarkStart w:id="0" w:name="_Hlk115932714"/>
      <w:r w:rsidRPr="009A6E8D">
        <w:rPr>
          <w:b/>
          <w:sz w:val="24"/>
        </w:rPr>
        <w:t>Ergebnis der</w:t>
      </w:r>
      <w:r w:rsidR="00B96BC9">
        <w:rPr>
          <w:b/>
          <w:sz w:val="24"/>
        </w:rPr>
        <w:t xml:space="preserve"> </w:t>
      </w:r>
      <w:r w:rsidRPr="009A6E8D">
        <w:rPr>
          <w:b/>
          <w:sz w:val="24"/>
        </w:rPr>
        <w:t xml:space="preserve">Vorprüfung gem. § 5 des Gesetzes über die Umweltverträglichkeitsprüfung (UVPG) im </w:t>
      </w:r>
    </w:p>
    <w:p w:rsidR="009A6E8D" w:rsidRPr="009A6E8D" w:rsidP="009A6E8D">
      <w:pPr>
        <w:jc w:val="center"/>
        <w:rPr>
          <w:b/>
          <w:sz w:val="24"/>
        </w:rPr>
      </w:pPr>
      <w:r w:rsidRPr="009A6E8D">
        <w:rPr>
          <w:b/>
          <w:sz w:val="24"/>
        </w:rPr>
        <w:t>Genehmigungsverfahren nach dem Bundes-Immissionsschutzgesetz (BImSchG) für die</w:t>
      </w:r>
    </w:p>
    <w:p w:rsidR="009A6E8D" w:rsidRPr="009A6E8D" w:rsidP="009A6E8D">
      <w:pPr>
        <w:jc w:val="center"/>
        <w:rPr>
          <w:b/>
          <w:sz w:val="24"/>
        </w:rPr>
      </w:pPr>
    </w:p>
    <w:p w:rsidR="009A6E8D" w:rsidRPr="009A6E8D" w:rsidP="009A6E8D">
      <w:pPr>
        <w:jc w:val="center"/>
        <w:rPr>
          <w:b/>
          <w:sz w:val="24"/>
        </w:rPr>
      </w:pPr>
      <w:r>
        <w:rPr>
          <w:b/>
          <w:sz w:val="24"/>
        </w:rPr>
        <w:t>Linde</w:t>
      </w:r>
      <w:r w:rsidRPr="009A6E8D" w:rsidR="00AB6B50">
        <w:rPr>
          <w:b/>
          <w:sz w:val="24"/>
        </w:rPr>
        <w:t xml:space="preserve"> GmbH</w:t>
      </w:r>
      <w:r>
        <w:rPr>
          <w:b/>
          <w:sz w:val="24"/>
        </w:rPr>
        <w:t>, Gases Division</w:t>
      </w:r>
    </w:p>
    <w:p w:rsidR="009A6E8D" w:rsidRPr="009A6E8D" w:rsidP="009A6E8D">
      <w:pPr>
        <w:jc w:val="center"/>
        <w:rPr>
          <w:b/>
          <w:sz w:val="24"/>
        </w:rPr>
      </w:pPr>
      <w:r w:rsidRPr="009D556E">
        <w:rPr>
          <w:b/>
          <w:sz w:val="24"/>
        </w:rPr>
        <w:t>Seitnerstraße 70</w:t>
      </w:r>
      <w:r w:rsidRPr="009A6E8D" w:rsidR="00AB6B50">
        <w:rPr>
          <w:b/>
          <w:sz w:val="24"/>
        </w:rPr>
        <w:t xml:space="preserve">, </w:t>
      </w:r>
      <w:bookmarkEnd w:id="0"/>
      <w:r w:rsidRPr="009D556E">
        <w:rPr>
          <w:b/>
          <w:sz w:val="24"/>
        </w:rPr>
        <w:t>82049 Pullach</w:t>
      </w:r>
    </w:p>
    <w:p w:rsidR="003F1C8C" w:rsidP="00313B6A"/>
    <w:p w:rsidR="003F1C8C" w:rsidP="003F1C8C">
      <w:r w:rsidRPr="003F1C8C">
        <w:t>Auf der Grundlage des § 5 Abs. 2 des Gesetzes über die Umweltverträglichkeitsprüfung</w:t>
      </w:r>
      <w:r w:rsidR="00A229DA">
        <w:t xml:space="preserve"> (UVPG)</w:t>
      </w:r>
      <w:r w:rsidRPr="003F1C8C">
        <w:t xml:space="preserve"> wird hiermit öffentlich bekannt gegeben:</w:t>
      </w:r>
    </w:p>
    <w:p w:rsidR="003F1C8C" w:rsidP="003F1C8C"/>
    <w:p w:rsidR="003F1C8C" w:rsidP="003F1C8C">
      <w:r>
        <w:t xml:space="preserve">Die </w:t>
      </w:r>
      <w:r w:rsidR="009D556E">
        <w:t>Linde GmbH, Gases Division</w:t>
      </w:r>
      <w:r>
        <w:t xml:space="preserve"> hat bei der Unteren Immissionsschutzbehörde der Stadt Aachen</w:t>
      </w:r>
      <w:r w:rsidRPr="003F1C8C">
        <w:t xml:space="preserve"> </w:t>
      </w:r>
      <w:r>
        <w:t xml:space="preserve">als zuständige </w:t>
      </w:r>
      <w:r>
        <w:t xml:space="preserve">Genehmigungsbehörde </w:t>
      </w:r>
      <w:r w:rsidRPr="003F1C8C">
        <w:t xml:space="preserve">gemäß § 16 </w:t>
      </w:r>
      <w:r w:rsidR="00A229DA">
        <w:t xml:space="preserve">des </w:t>
      </w:r>
      <w:r w:rsidRPr="00A229DA" w:rsidR="00A229DA">
        <w:t>Gesetz</w:t>
      </w:r>
      <w:r w:rsidR="00A229DA">
        <w:t>es</w:t>
      </w:r>
      <w:r w:rsidRPr="00A229DA" w:rsidR="00A229DA">
        <w:t xml:space="preserve"> zum Schutz vor schädlichen Umwelteinwirkungen durch Luftverunreinigungen, Geräusche, Erschütterungen und ähnliche Vorgänge</w:t>
      </w:r>
      <w:r w:rsidR="00A229DA">
        <w:t xml:space="preserve"> (</w:t>
      </w:r>
      <w:r w:rsidRPr="003F1C8C">
        <w:t>BImSchG</w:t>
      </w:r>
      <w:r w:rsidR="00A229DA">
        <w:t>)</w:t>
      </w:r>
      <w:r w:rsidRPr="003F1C8C">
        <w:t xml:space="preserve"> die </w:t>
      </w:r>
      <w:r w:rsidR="00173E6B">
        <w:t>G</w:t>
      </w:r>
      <w:r w:rsidRPr="003F1C8C">
        <w:t xml:space="preserve">enehmigung zur </w:t>
      </w:r>
      <w:r w:rsidR="009D556E">
        <w:t>Veränderung der Anordnung der Lagerflächen</w:t>
      </w:r>
      <w:r w:rsidRPr="003F1C8C">
        <w:t xml:space="preserve"> i</w:t>
      </w:r>
      <w:r w:rsidR="009D556E">
        <w:t>n</w:t>
      </w:r>
      <w:r w:rsidRPr="003F1C8C">
        <w:t xml:space="preserve"> </w:t>
      </w:r>
      <w:r w:rsidR="009D556E">
        <w:t>52070</w:t>
      </w:r>
      <w:r w:rsidRPr="003F1C8C">
        <w:t xml:space="preserve"> Aachen,</w:t>
      </w:r>
      <w:r w:rsidRPr="003F1C8C">
        <w:t xml:space="preserve"> </w:t>
      </w:r>
      <w:r w:rsidR="009D556E">
        <w:t>Krefelder Straße 223</w:t>
      </w:r>
      <w:r w:rsidR="00865FB8">
        <w:t xml:space="preserve"> beantragt</w:t>
      </w:r>
      <w:r w:rsidRPr="003F1C8C">
        <w:t>.</w:t>
      </w:r>
    </w:p>
    <w:p w:rsidR="000A4C2B" w:rsidP="003F1C8C"/>
    <w:p w:rsidR="00865FB8" w:rsidP="003F1C8C">
      <w:r w:rsidRPr="00865FB8">
        <w:t>Die von de</w:t>
      </w:r>
      <w:r w:rsidR="009D556E">
        <w:t>r</w:t>
      </w:r>
      <w:r w:rsidRPr="00865FB8">
        <w:t xml:space="preserve"> Änderung</w:t>
      </w:r>
      <w:r w:rsidRPr="00865FB8">
        <w:t xml:space="preserve"> erfasste </w:t>
      </w:r>
      <w:r w:rsidR="009D556E">
        <w:t>Anlage</w:t>
      </w:r>
      <w:r w:rsidRPr="00865FB8">
        <w:t xml:space="preserve"> </w:t>
      </w:r>
      <w:r w:rsidR="009D556E">
        <w:t>ist eine</w:t>
      </w:r>
      <w:r w:rsidRPr="00865FB8">
        <w:t xml:space="preserve"> genehmigungsbedürftige Anlage im Sinne des BImSchG gemäß Nr.</w:t>
      </w:r>
      <w:r w:rsidR="009D556E">
        <w:t> 9.1.1.2 (vormals 9.1b)</w:t>
      </w:r>
      <w:r w:rsidRPr="00865FB8">
        <w:t xml:space="preserve">, Verfahrensart V des Anhangs der </w:t>
      </w:r>
      <w:r w:rsidRPr="009B2403" w:rsidR="009B2403">
        <w:t>Vierte</w:t>
      </w:r>
      <w:r w:rsidR="00E7464B">
        <w:t>n</w:t>
      </w:r>
      <w:r w:rsidRPr="009B2403" w:rsidR="009B2403">
        <w:t xml:space="preserve"> Verordnung zur Durchführung des Bundes-Immissionsschutzgesetzes (Verordnung über genehmigungsbedürftige Anlagen - 4. BImSchV)</w:t>
      </w:r>
      <w:r w:rsidRPr="00865FB8">
        <w:t>.</w:t>
      </w:r>
    </w:p>
    <w:p w:rsidR="000A4C2B" w:rsidP="003F1C8C"/>
    <w:p w:rsidR="00865FB8" w:rsidP="003F1C8C">
      <w:r>
        <w:t xml:space="preserve">Gemäß Nr. </w:t>
      </w:r>
      <w:r w:rsidR="009D556E">
        <w:t xml:space="preserve">9.1.1.3 </w:t>
      </w:r>
      <w:r>
        <w:t xml:space="preserve">der Anlage 1 Liste </w:t>
      </w:r>
      <w:r>
        <w:t xml:space="preserve">„UVP-pflichtige Vorhaben“ </w:t>
      </w:r>
      <w:r w:rsidR="00E7464B">
        <w:t xml:space="preserve">des </w:t>
      </w:r>
      <w:r w:rsidRPr="00E7464B" w:rsidR="00E7464B">
        <w:t>Gesetz</w:t>
      </w:r>
      <w:r w:rsidR="00E7464B">
        <w:t>es</w:t>
      </w:r>
      <w:r w:rsidRPr="00E7464B" w:rsidR="00E7464B">
        <w:t xml:space="preserve"> über die Umweltverträglichkeitsprüfung (UVPG)</w:t>
      </w:r>
      <w:r w:rsidR="00E7464B">
        <w:t xml:space="preserve"> </w:t>
      </w:r>
      <w:r>
        <w:t>bedarf die Errichtung und der Betrieb</w:t>
      </w:r>
      <w:r w:rsidR="009D556E">
        <w:t>,</w:t>
      </w:r>
      <w:r>
        <w:t xml:space="preserve"> </w:t>
      </w:r>
      <w:r w:rsidR="009D556E">
        <w:t>die der Lagerung von Stoffen oder Gemischen, die bei einer Temperatur von 293,15 Kelvin einen absoluten Dampfdruck von mindestens 101,3 Kilopascal und einen Explosionsbereich mit Luft haben (brennbare Gase), in Behältern oder von Erzeugnissen, die diese Stoffe oder Gemische z. B. als Treibmittel oder Brenngas enthalten, dient, soweit es sich nicht ausschließlich um Einzelbehältnisse mit einem Volumen von jeweils nicht mehr als 1 000 cm</w:t>
      </w:r>
      <w:r w:rsidR="009D556E">
        <w:rPr>
          <w:vertAlign w:val="superscript"/>
        </w:rPr>
        <w:t>3</w:t>
      </w:r>
      <w:r w:rsidR="009D556E">
        <w:t xml:space="preserve"> handelt, mit einem Fassungsvermögen von 3 t bis weniger als 30 t </w:t>
      </w:r>
      <w:r>
        <w:t>eine</w:t>
      </w:r>
      <w:r w:rsidR="00613BEF">
        <w:t>r</w:t>
      </w:r>
      <w:r>
        <w:t xml:space="preserve"> </w:t>
      </w:r>
      <w:r w:rsidR="009D556E">
        <w:t>standortbezogenen</w:t>
      </w:r>
      <w:r>
        <w:t xml:space="preserve"> Vorprüfung des Einzelfalls</w:t>
      </w:r>
      <w:r w:rsidR="00613BEF">
        <w:t xml:space="preserve"> zur Feststellung der UVP-Pflicht.</w:t>
      </w:r>
    </w:p>
    <w:p w:rsidR="000A4C2B" w:rsidP="003F1C8C"/>
    <w:p w:rsidR="00613BEF" w:rsidP="0054511C">
      <w:r>
        <w:t xml:space="preserve">Im Rahmen des Genehmigungsverfahrens zur Errichtung der </w:t>
      </w:r>
      <w:r w:rsidR="009D556E">
        <w:t xml:space="preserve">Anlage zur Lagerung von </w:t>
      </w:r>
      <w:r>
        <w:t xml:space="preserve">brennbaren </w:t>
      </w:r>
      <w:r w:rsidR="009D556E">
        <w:t>Gasen</w:t>
      </w:r>
      <w:r>
        <w:t xml:space="preserve"> mit Besch</w:t>
      </w:r>
      <w:r>
        <w:t xml:space="preserve">eid vom </w:t>
      </w:r>
      <w:r w:rsidR="009D556E">
        <w:t>16.11.2007</w:t>
      </w:r>
      <w:r>
        <w:t xml:space="preserve"> (Az.: </w:t>
      </w:r>
      <w:r w:rsidR="00304BCD">
        <w:t>56.98.08.9.1-4-96/06-Wu</w:t>
      </w:r>
      <w:r>
        <w:t xml:space="preserve">) wurde </w:t>
      </w:r>
      <w:r w:rsidR="00304BCD">
        <w:t>keine</w:t>
      </w:r>
      <w:r>
        <w:t xml:space="preserve"> Umweltverträglichkeitsprüfung durchgeführt.</w:t>
      </w:r>
    </w:p>
    <w:p w:rsidR="000A4C2B" w:rsidP="0054511C"/>
    <w:p w:rsidR="0054511C" w:rsidP="000A4C2B">
      <w:r>
        <w:t xml:space="preserve">Wird ein Vorhaben geändert, für das </w:t>
      </w:r>
      <w:r w:rsidR="00304BCD">
        <w:t>keine</w:t>
      </w:r>
      <w:r>
        <w:t xml:space="preserve"> Umweltverträglichkeitsprüfung durchgeführt worden ist, so </w:t>
      </w:r>
      <w:r w:rsidR="00304BCD">
        <w:t>wird</w:t>
      </w:r>
      <w:r w:rsidRPr="000A4C2B">
        <w:t xml:space="preserve"> </w:t>
      </w:r>
      <w:r>
        <w:t>gemäß §</w:t>
      </w:r>
      <w:r w:rsidR="00304BCD">
        <w:t> </w:t>
      </w:r>
      <w:r>
        <w:t>9</w:t>
      </w:r>
      <w:r w:rsidR="00304BCD">
        <w:t> </w:t>
      </w:r>
      <w:r>
        <w:t xml:space="preserve">Abs. </w:t>
      </w:r>
      <w:r w:rsidR="00304BCD">
        <w:t>3</w:t>
      </w:r>
      <w:r>
        <w:t xml:space="preserve"> UVPG für das Änderungsvorha</w:t>
      </w:r>
      <w:r>
        <w:t xml:space="preserve">ben </w:t>
      </w:r>
      <w:r w:rsidR="00304BCD">
        <w:t>eine Vorprüfung durchgeführt</w:t>
      </w:r>
      <w:r>
        <w:t>,</w:t>
      </w:r>
      <w:r w:rsidR="00304BCD">
        <w:t xml:space="preserve"> wenn für das Vorhaben nach Anlage 1 eine UVP-Pflicht besteht und dafür keine Größen- oder Leistungswerte vorgeschrieben sind oder eine Vorprüfung, aber keine Prüfwerte vorgeschrieben sind. Die UVP-Pflicht besteht, wenn die Vorprüfung ergibt, dass die Änderung erhebliche nachteilige Umweltauswirkungen hervorrufen kann.</w:t>
      </w:r>
    </w:p>
    <w:p w:rsidR="00E7464B" w:rsidP="000A4C2B"/>
    <w:p w:rsidR="000A4C2B" w:rsidP="000A4C2B">
      <w:r>
        <w:t>Für</w:t>
      </w:r>
      <w:r w:rsidR="00AB6B50">
        <w:t xml:space="preserve"> die beantrag</w:t>
      </w:r>
      <w:r w:rsidR="00A229DA">
        <w:t>t</w:t>
      </w:r>
      <w:r w:rsidR="00AB6B50">
        <w:t>e we</w:t>
      </w:r>
      <w:bookmarkStart w:id="1" w:name="_GoBack"/>
      <w:bookmarkEnd w:id="1"/>
      <w:r w:rsidR="00AB6B50">
        <w:t xml:space="preserve">sentliche Änderung </w:t>
      </w:r>
      <w:r>
        <w:t>besteht keine</w:t>
      </w:r>
      <w:r w:rsidR="00AB6B50">
        <w:t xml:space="preserve"> UVP-Pflicht</w:t>
      </w:r>
      <w:r>
        <w:t>, jedoch ist eine Vorprüfung</w:t>
      </w:r>
      <w:r>
        <w:t xml:space="preserve"> </w:t>
      </w:r>
      <w:r>
        <w:t>vorgeschrieben.</w:t>
      </w:r>
    </w:p>
    <w:p w:rsidR="000A4C2B" w:rsidP="000A4C2B">
      <w:r>
        <w:t>D</w:t>
      </w:r>
      <w:r w:rsidR="00AB6B50">
        <w:t xml:space="preserve">ie </w:t>
      </w:r>
      <w:r>
        <w:t>standortbezogen</w:t>
      </w:r>
      <w:r w:rsidR="002244E7">
        <w:t>e</w:t>
      </w:r>
      <w:r w:rsidR="00AB6B50">
        <w:t xml:space="preserve"> Vorprüfung ergab, dass die Änderung keine zusätzliche</w:t>
      </w:r>
      <w:r w:rsidR="00F92BCF">
        <w:t>n</w:t>
      </w:r>
      <w:r w:rsidR="00AB6B50">
        <w:t xml:space="preserve"> erhebliche nachteilige oder andere erhebliche nachteilige Umweltauswirkungen hervorrufen kann.</w:t>
      </w:r>
    </w:p>
    <w:p w:rsidR="000A4C2B" w:rsidP="000A4C2B">
      <w:r>
        <w:t>Aus diesen Gründen ist eine Umweltverträglichkeitsprüfung im Rahmen des Änderungsgenehmigungsverfahrens nicht e</w:t>
      </w:r>
      <w:r>
        <w:t>rforderlich.</w:t>
      </w:r>
    </w:p>
    <w:p w:rsidR="000A4C2B" w:rsidP="000A4C2B"/>
    <w:p w:rsidR="000A4C2B" w:rsidP="000A4C2B">
      <w:pPr>
        <w:rPr>
          <w:szCs w:val="22"/>
        </w:rPr>
      </w:pPr>
      <w:r>
        <w:rPr>
          <w:szCs w:val="22"/>
        </w:rPr>
        <w:t>Die Feststellung, dass keine Umweltverträglichkeitsprüfung durchzuführen ist, ist nicht selbstständig anfechtbar.</w:t>
      </w:r>
    </w:p>
    <w:p w:rsidR="00A44248" w:rsidP="000A4C2B"/>
    <w:p w:rsidR="00A44248" w:rsidP="00A44248">
      <w:r>
        <w:t xml:space="preserve">Stadt Aachen </w:t>
      </w:r>
    </w:p>
    <w:p w:rsidR="00A44248" w:rsidP="00A44248">
      <w:r>
        <w:t>Die Oberbürgermeisterin</w:t>
      </w:r>
    </w:p>
    <w:p w:rsidR="00A44248" w:rsidP="00A44248">
      <w:r>
        <w:t>Fachbereich Klima und Umwelt</w:t>
      </w:r>
    </w:p>
    <w:p w:rsidR="00A44248" w:rsidP="00A44248">
      <w:r>
        <w:t>Untere Immissionsschutzbehörde</w:t>
      </w:r>
    </w:p>
    <w:p w:rsidR="00890A66" w:rsidP="00890A66">
      <w:r>
        <w:t>Az</w:t>
      </w:r>
      <w:r w:rsidR="006A3911">
        <w:t>.</w:t>
      </w:r>
      <w:r>
        <w:t>:</w:t>
      </w:r>
      <w:r w:rsidR="007C4226">
        <w:t xml:space="preserve"> </w:t>
      </w:r>
      <w:r w:rsidRPr="007C4226" w:rsidR="007C4226">
        <w:t>313.0003/23/9.1.1.2-313-sgass</w:t>
      </w:r>
    </w:p>
    <w:p w:rsidR="007C4226" w:rsidP="00890A66"/>
    <w:p w:rsidR="00890A66" w:rsidP="00890A66">
      <w:r>
        <w:t xml:space="preserve">Aachen, den </w:t>
      </w:r>
      <w:r w:rsidR="00490047">
        <w:t>2</w:t>
      </w:r>
      <w:r w:rsidR="009F02DC">
        <w:t>6</w:t>
      </w:r>
      <w:r w:rsidR="00490047">
        <w:t>.10.2023</w:t>
      </w:r>
    </w:p>
    <w:p w:rsidR="00890A66" w:rsidP="00890A66"/>
    <w:p w:rsidR="009A6E8D" w:rsidP="00A44248"/>
    <w:p w:rsidR="00A44248" w:rsidP="00A44248">
      <w:r>
        <w:t>Im Auftrag</w:t>
      </w:r>
    </w:p>
    <w:p w:rsidR="00A44248" w:rsidRPr="00313B6A" w:rsidP="00A44248">
      <w:r>
        <w:t>Gaß</w:t>
      </w:r>
    </w:p>
    <w:sectPr w:rsidSect="008D1E83">
      <w:headerReference w:type="default" r:id="rId5"/>
      <w:headerReference w:type="first" r:id="rId6"/>
      <w:footerReference w:type="first" r:id="rId7"/>
      <w:footnotePr>
        <w:numRestart w:val="eachSect"/>
      </w:footnotePr>
      <w:endnotePr>
        <w:numFmt w:val="decimal"/>
      </w:endnotePr>
      <w:type w:val="continuous"/>
      <w:pgSz w:w="11907" w:h="16840" w:code="9"/>
      <w:pgMar w:top="868" w:right="850" w:bottom="964" w:left="1418" w:header="454" w:footer="907"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Standar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CellMar>
        <w:left w:w="0" w:type="dxa"/>
        <w:right w:w="0" w:type="dxa"/>
      </w:tblCellMar>
      <w:tblLook w:val="0000"/>
    </w:tblPr>
    <w:tblGrid>
      <w:gridCol w:w="3856"/>
      <w:gridCol w:w="2875"/>
      <w:gridCol w:w="340"/>
      <w:gridCol w:w="2835"/>
    </w:tblGrid>
    <w:tr>
      <w:tblPrEx>
        <w:tblW w:w="0" w:type="auto"/>
        <w:tblLayout w:type="fixed"/>
        <w:tblCellMar>
          <w:left w:w="0" w:type="dxa"/>
          <w:right w:w="0" w:type="dxa"/>
        </w:tblCellMar>
        <w:tblLook w:val="0000"/>
      </w:tblPrEx>
      <w:trPr>
        <w:trHeight w:hRule="exact" w:val="227"/>
      </w:trPr>
      <w:tc>
        <w:tcPr>
          <w:tcW w:w="3856" w:type="dxa"/>
        </w:tcPr>
        <w:p w:rsidR="00464C47" w:rsidP="00FD6C4D">
          <w:pPr>
            <w:pStyle w:val="Footer"/>
            <w:tabs>
              <w:tab w:val="left" w:pos="1560"/>
              <w:tab w:val="clear" w:pos="4536"/>
              <w:tab w:val="clear" w:pos="9072"/>
            </w:tabs>
            <w:rPr>
              <w:sz w:val="16"/>
            </w:rPr>
          </w:pPr>
          <w:r>
            <w:rPr>
              <w:sz w:val="16"/>
            </w:rPr>
            <w:t xml:space="preserve">Konto der Stadtkasse:   </w:t>
          </w:r>
          <w:r>
            <w:rPr>
              <w:sz w:val="16"/>
            </w:rPr>
            <w:tab/>
          </w:r>
        </w:p>
      </w:tc>
      <w:tc>
        <w:tcPr>
          <w:tcW w:w="2875" w:type="dxa"/>
        </w:tcPr>
        <w:p w:rsidR="00464C47">
          <w:pPr>
            <w:pStyle w:val="Footer"/>
            <w:tabs>
              <w:tab w:val="clear" w:pos="4536"/>
              <w:tab w:val="clear" w:pos="9072"/>
            </w:tabs>
            <w:jc w:val="right"/>
            <w:rPr>
              <w:sz w:val="16"/>
            </w:rPr>
          </w:pPr>
          <w:r>
            <w:rPr>
              <w:sz w:val="16"/>
            </w:rPr>
            <w:t>Öffnungszeiten</w:t>
          </w:r>
        </w:p>
      </w:tc>
      <w:tc>
        <w:tcPr>
          <w:tcW w:w="340" w:type="dxa"/>
        </w:tcPr>
        <w:p w:rsidR="00464C47">
          <w:pPr>
            <w:pStyle w:val="Footer"/>
            <w:tabs>
              <w:tab w:val="clear" w:pos="4536"/>
              <w:tab w:val="clear" w:pos="9072"/>
            </w:tabs>
            <w:rPr>
              <w:sz w:val="16"/>
            </w:rPr>
          </w:pPr>
        </w:p>
      </w:tc>
      <w:tc>
        <w:tcPr>
          <w:tcW w:w="2835" w:type="dxa"/>
        </w:tcPr>
        <w:p w:rsidR="00464C47">
          <w:pPr>
            <w:pStyle w:val="Footer"/>
            <w:tabs>
              <w:tab w:val="clear" w:pos="4536"/>
              <w:tab w:val="clear" w:pos="9072"/>
            </w:tabs>
            <w:rPr>
              <w:sz w:val="16"/>
            </w:rPr>
          </w:pPr>
          <w:r>
            <w:rPr>
              <w:sz w:val="16"/>
            </w:rPr>
            <w:t xml:space="preserve">Fachbereich </w:t>
          </w:r>
          <w:r w:rsidR="00E95252">
            <w:rPr>
              <w:sz w:val="16"/>
            </w:rPr>
            <w:t xml:space="preserve">Klima und </w:t>
          </w:r>
          <w:r>
            <w:rPr>
              <w:sz w:val="16"/>
            </w:rPr>
            <w:t>Umwelt</w:t>
          </w:r>
        </w:p>
      </w:tc>
    </w:tr>
    <w:tr>
      <w:tblPrEx>
        <w:tblW w:w="0" w:type="auto"/>
        <w:tblLayout w:type="fixed"/>
        <w:tblCellMar>
          <w:left w:w="0" w:type="dxa"/>
          <w:right w:w="0" w:type="dxa"/>
        </w:tblCellMar>
        <w:tblLook w:val="0000"/>
      </w:tblPrEx>
      <w:trPr>
        <w:trHeight w:hRule="exact" w:val="227"/>
      </w:trPr>
      <w:tc>
        <w:tcPr>
          <w:tcW w:w="3856" w:type="dxa"/>
        </w:tcPr>
        <w:p w:rsidR="00464C47" w:rsidP="00FD6C4D">
          <w:pPr>
            <w:pStyle w:val="Footer"/>
            <w:tabs>
              <w:tab w:val="left" w:pos="1560"/>
              <w:tab w:val="clear" w:pos="4536"/>
              <w:tab w:val="clear" w:pos="9072"/>
            </w:tabs>
            <w:rPr>
              <w:sz w:val="16"/>
            </w:rPr>
          </w:pPr>
          <w:r>
            <w:rPr>
              <w:sz w:val="16"/>
            </w:rPr>
            <w:t>Sparkasse Aachen</w:t>
          </w:r>
          <w:r>
            <w:rPr>
              <w:sz w:val="16"/>
            </w:rPr>
            <w:tab/>
          </w:r>
        </w:p>
      </w:tc>
      <w:tc>
        <w:tcPr>
          <w:tcW w:w="2875" w:type="dxa"/>
        </w:tcPr>
        <w:p w:rsidR="00464C47">
          <w:pPr>
            <w:pStyle w:val="Footer"/>
            <w:tabs>
              <w:tab w:val="clear" w:pos="4536"/>
              <w:tab w:val="clear" w:pos="9072"/>
            </w:tabs>
            <w:jc w:val="right"/>
            <w:rPr>
              <w:sz w:val="16"/>
            </w:rPr>
          </w:pPr>
          <w:r>
            <w:rPr>
              <w:sz w:val="16"/>
            </w:rPr>
            <w:t>Montag bis Donnerstag</w:t>
          </w:r>
        </w:p>
      </w:tc>
      <w:tc>
        <w:tcPr>
          <w:tcW w:w="340" w:type="dxa"/>
        </w:tcPr>
        <w:p w:rsidR="00464C47">
          <w:pPr>
            <w:pStyle w:val="Footer"/>
            <w:tabs>
              <w:tab w:val="clear" w:pos="4536"/>
              <w:tab w:val="clear" w:pos="9072"/>
            </w:tabs>
            <w:rPr>
              <w:sz w:val="16"/>
            </w:rPr>
          </w:pPr>
        </w:p>
      </w:tc>
      <w:tc>
        <w:tcPr>
          <w:tcW w:w="2835" w:type="dxa"/>
        </w:tcPr>
        <w:p w:rsidR="00464C47">
          <w:pPr>
            <w:pStyle w:val="Footer"/>
            <w:tabs>
              <w:tab w:val="clear" w:pos="4536"/>
              <w:tab w:val="clear" w:pos="9072"/>
            </w:tabs>
            <w:rPr>
              <w:sz w:val="16"/>
            </w:rPr>
          </w:pPr>
          <w:r>
            <w:rPr>
              <w:sz w:val="16"/>
            </w:rPr>
            <w:t>8:00 Uhr bis 15:00 Uhr</w:t>
          </w:r>
        </w:p>
      </w:tc>
    </w:tr>
    <w:tr>
      <w:tblPrEx>
        <w:tblW w:w="0" w:type="auto"/>
        <w:tblLayout w:type="fixed"/>
        <w:tblCellMar>
          <w:left w:w="0" w:type="dxa"/>
          <w:right w:w="0" w:type="dxa"/>
        </w:tblCellMar>
        <w:tblLook w:val="0000"/>
      </w:tblPrEx>
      <w:trPr>
        <w:trHeight w:hRule="exact" w:val="227"/>
      </w:trPr>
      <w:tc>
        <w:tcPr>
          <w:tcW w:w="3856" w:type="dxa"/>
        </w:tcPr>
        <w:p w:rsidR="00464C47" w:rsidRPr="006426FE" w:rsidP="006426FE">
          <w:pPr>
            <w:pStyle w:val="Footer"/>
            <w:tabs>
              <w:tab w:val="left" w:pos="1560"/>
              <w:tab w:val="clear" w:pos="4536"/>
              <w:tab w:val="clear" w:pos="9072"/>
            </w:tabs>
            <w:rPr>
              <w:sz w:val="16"/>
            </w:rPr>
          </w:pPr>
          <w:r w:rsidRPr="006426FE">
            <w:rPr>
              <w:sz w:val="16"/>
            </w:rPr>
            <w:t>IBAN: DE 09 3905</w:t>
          </w:r>
          <w:r>
            <w:rPr>
              <w:sz w:val="16"/>
            </w:rPr>
            <w:t xml:space="preserve"> </w:t>
          </w:r>
          <w:r w:rsidRPr="006426FE">
            <w:rPr>
              <w:sz w:val="16"/>
            </w:rPr>
            <w:t>0000 0000</w:t>
          </w:r>
          <w:r>
            <w:rPr>
              <w:sz w:val="16"/>
            </w:rPr>
            <w:t xml:space="preserve"> </w:t>
          </w:r>
          <w:r w:rsidRPr="006426FE">
            <w:rPr>
              <w:sz w:val="16"/>
            </w:rPr>
            <w:t>0000</w:t>
          </w:r>
          <w:r>
            <w:rPr>
              <w:sz w:val="16"/>
            </w:rPr>
            <w:t xml:space="preserve"> </w:t>
          </w:r>
          <w:r w:rsidRPr="006426FE">
            <w:rPr>
              <w:sz w:val="16"/>
            </w:rPr>
            <w:t>34</w:t>
          </w:r>
        </w:p>
        <w:p w:rsidR="00464C47">
          <w:pPr>
            <w:pStyle w:val="Footer"/>
            <w:tabs>
              <w:tab w:val="clear" w:pos="4536"/>
              <w:tab w:val="clear" w:pos="9072"/>
            </w:tabs>
            <w:rPr>
              <w:sz w:val="16"/>
            </w:rPr>
          </w:pPr>
        </w:p>
      </w:tc>
      <w:tc>
        <w:tcPr>
          <w:tcW w:w="2875" w:type="dxa"/>
        </w:tcPr>
        <w:p w:rsidR="00464C47">
          <w:pPr>
            <w:pStyle w:val="Footer"/>
            <w:tabs>
              <w:tab w:val="clear" w:pos="4536"/>
              <w:tab w:val="clear" w:pos="9072"/>
            </w:tabs>
            <w:jc w:val="right"/>
            <w:rPr>
              <w:sz w:val="16"/>
            </w:rPr>
          </w:pPr>
          <w:r>
            <w:rPr>
              <w:sz w:val="16"/>
            </w:rPr>
            <w:t>Freitag</w:t>
          </w:r>
        </w:p>
      </w:tc>
      <w:tc>
        <w:tcPr>
          <w:tcW w:w="340" w:type="dxa"/>
        </w:tcPr>
        <w:p w:rsidR="00464C47">
          <w:pPr>
            <w:pStyle w:val="Footer"/>
            <w:tabs>
              <w:tab w:val="clear" w:pos="4536"/>
              <w:tab w:val="clear" w:pos="9072"/>
            </w:tabs>
            <w:rPr>
              <w:sz w:val="16"/>
            </w:rPr>
          </w:pPr>
        </w:p>
      </w:tc>
      <w:tc>
        <w:tcPr>
          <w:tcW w:w="2835" w:type="dxa"/>
        </w:tcPr>
        <w:p w:rsidR="00464C47">
          <w:pPr>
            <w:pStyle w:val="Footer"/>
            <w:tabs>
              <w:tab w:val="clear" w:pos="4536"/>
              <w:tab w:val="clear" w:pos="9072"/>
            </w:tabs>
            <w:rPr>
              <w:sz w:val="16"/>
            </w:rPr>
          </w:pPr>
          <w:r>
            <w:rPr>
              <w:sz w:val="16"/>
            </w:rPr>
            <w:t>8:00 Uhr bis 13:00 Uhr</w:t>
          </w:r>
        </w:p>
      </w:tc>
    </w:tr>
    <w:tr>
      <w:tblPrEx>
        <w:tblW w:w="0" w:type="auto"/>
        <w:tblLayout w:type="fixed"/>
        <w:tblCellMar>
          <w:left w:w="0" w:type="dxa"/>
          <w:right w:w="0" w:type="dxa"/>
        </w:tblCellMar>
        <w:tblLook w:val="0000"/>
      </w:tblPrEx>
      <w:trPr>
        <w:trHeight w:hRule="exact" w:val="227"/>
      </w:trPr>
      <w:tc>
        <w:tcPr>
          <w:tcW w:w="3856" w:type="dxa"/>
        </w:tcPr>
        <w:p w:rsidR="00464C47" w:rsidRPr="006426FE" w:rsidP="006426FE">
          <w:pPr>
            <w:pStyle w:val="Footer"/>
            <w:tabs>
              <w:tab w:val="left" w:pos="1560"/>
              <w:tab w:val="clear" w:pos="4536"/>
              <w:tab w:val="clear" w:pos="9072"/>
            </w:tabs>
            <w:rPr>
              <w:sz w:val="16"/>
            </w:rPr>
          </w:pPr>
          <w:r w:rsidRPr="006426FE">
            <w:rPr>
              <w:sz w:val="16"/>
            </w:rPr>
            <w:t>BIC: AACSDE 33</w:t>
          </w:r>
        </w:p>
        <w:p w:rsidR="00464C47" w:rsidP="006426FE">
          <w:pPr>
            <w:pStyle w:val="Footer"/>
            <w:tabs>
              <w:tab w:val="left" w:pos="1560"/>
              <w:tab w:val="clear" w:pos="4536"/>
              <w:tab w:val="clear" w:pos="9072"/>
            </w:tabs>
            <w:rPr>
              <w:sz w:val="16"/>
            </w:rPr>
          </w:pPr>
        </w:p>
      </w:tc>
      <w:tc>
        <w:tcPr>
          <w:tcW w:w="2875" w:type="dxa"/>
        </w:tcPr>
        <w:p w:rsidR="00464C47">
          <w:pPr>
            <w:pStyle w:val="Footer"/>
            <w:tabs>
              <w:tab w:val="clear" w:pos="4536"/>
              <w:tab w:val="clear" w:pos="9072"/>
            </w:tabs>
            <w:jc w:val="right"/>
            <w:rPr>
              <w:sz w:val="16"/>
            </w:rPr>
          </w:pPr>
        </w:p>
      </w:tc>
      <w:tc>
        <w:tcPr>
          <w:tcW w:w="340" w:type="dxa"/>
        </w:tcPr>
        <w:p w:rsidR="00464C47">
          <w:pPr>
            <w:pStyle w:val="Footer"/>
            <w:tabs>
              <w:tab w:val="clear" w:pos="4536"/>
              <w:tab w:val="clear" w:pos="9072"/>
            </w:tabs>
            <w:rPr>
              <w:sz w:val="16"/>
            </w:rPr>
          </w:pPr>
        </w:p>
      </w:tc>
      <w:tc>
        <w:tcPr>
          <w:tcW w:w="2835" w:type="dxa"/>
        </w:tcPr>
        <w:p w:rsidR="00464C47">
          <w:pPr>
            <w:pStyle w:val="Footer"/>
            <w:tabs>
              <w:tab w:val="clear" w:pos="4536"/>
              <w:tab w:val="clear" w:pos="9072"/>
            </w:tabs>
            <w:rPr>
              <w:sz w:val="16"/>
            </w:rPr>
          </w:pPr>
          <w:r>
            <w:rPr>
              <w:sz w:val="16"/>
            </w:rPr>
            <w:t>und nach Vereinbarung</w:t>
          </w:r>
        </w:p>
      </w:tc>
    </w:tr>
  </w:tbl>
  <w:p w:rsidR="00464C47">
    <w:pPr>
      <w:pStyle w:val="Footer"/>
      <w:tabs>
        <w:tab w:val="clear" w:pos="4536"/>
        <w:tab w:val="right" w:pos="6096"/>
      </w:tabs>
      <w:rPr>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9160150"/>
      <w:docPartObj>
        <w:docPartGallery w:val="Page Numbers (Top of Page)"/>
        <w:docPartUnique/>
      </w:docPartObj>
    </w:sdtPr>
    <w:sdtContent>
      <w:p w:rsidR="008D1E83">
        <w:pPr>
          <w:pStyle w:val="Header"/>
          <w:jc w:val="center"/>
        </w:pPr>
        <w:r>
          <w:fldChar w:fldCharType="begin"/>
        </w:r>
        <w:r>
          <w:instrText>PAGE   \* MERGEFORMAT</w:instrText>
        </w:r>
        <w:r>
          <w:fldChar w:fldCharType="separate"/>
        </w:r>
        <w:r w:rsidR="000529D5">
          <w:rPr>
            <w:noProof/>
          </w:rPr>
          <w:t>2</w:t>
        </w:r>
        <w:r>
          <w:fldChar w:fldCharType="end"/>
        </w:r>
      </w:p>
    </w:sdtContent>
  </w:sdt>
  <w:p w:rsidR="00464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4" w:type="dxa"/>
      <w:tblLayout w:type="fixed"/>
      <w:tblCellMar>
        <w:left w:w="34" w:type="dxa"/>
        <w:right w:w="34" w:type="dxa"/>
      </w:tblCellMar>
      <w:tblLook w:val="0000"/>
    </w:tblPr>
    <w:tblGrid>
      <w:gridCol w:w="3856"/>
      <w:gridCol w:w="2877"/>
      <w:gridCol w:w="350"/>
      <w:gridCol w:w="2835"/>
    </w:tblGrid>
    <w:tr>
      <w:tblPrEx>
        <w:tblW w:w="0" w:type="auto"/>
        <w:tblInd w:w="34" w:type="dxa"/>
        <w:tblLayout w:type="fixed"/>
        <w:tblCellMar>
          <w:left w:w="34" w:type="dxa"/>
          <w:right w:w="34" w:type="dxa"/>
        </w:tblCellMar>
        <w:tblLook w:val="0000"/>
      </w:tblPrEx>
      <w:tc>
        <w:tcPr>
          <w:tcW w:w="3856" w:type="dxa"/>
          <w:vAlign w:val="bottom"/>
        </w:tcPr>
        <w:p w:rsidR="00464C47">
          <w:pPr>
            <w:pStyle w:val="Header"/>
            <w:tabs>
              <w:tab w:val="left" w:pos="708"/>
            </w:tabs>
            <w:ind w:left="-34" w:right="-70"/>
            <w:rPr>
              <w:b/>
              <w:sz w:val="24"/>
            </w:rPr>
          </w:pPr>
          <w:r>
            <w:rPr>
              <w:b/>
              <w:sz w:val="24"/>
            </w:rPr>
            <w:t xml:space="preserve">Fachbereich </w:t>
          </w:r>
          <w:r w:rsidR="007E4E53">
            <w:rPr>
              <w:b/>
              <w:sz w:val="24"/>
            </w:rPr>
            <w:t xml:space="preserve">Klima und </w:t>
          </w:r>
          <w:r>
            <w:rPr>
              <w:b/>
              <w:sz w:val="24"/>
            </w:rPr>
            <w:t>Umwelt</w:t>
          </w:r>
          <w:r w:rsidRPr="00631690">
            <w:rPr>
              <w:b/>
              <w:sz w:val="24"/>
            </w:rPr>
            <w:t xml:space="preserve"> </w:t>
          </w:r>
        </w:p>
        <w:p w:rsidR="00511F6C" w:rsidRPr="00631690" w:rsidP="00773B42">
          <w:pPr>
            <w:pStyle w:val="Header"/>
            <w:tabs>
              <w:tab w:val="left" w:pos="708"/>
            </w:tabs>
            <w:ind w:left="-34" w:right="-70"/>
            <w:rPr>
              <w:b/>
              <w:sz w:val="24"/>
            </w:rPr>
          </w:pPr>
          <w:r>
            <w:rPr>
              <w:b/>
              <w:sz w:val="24"/>
            </w:rPr>
            <w:t xml:space="preserve">Untere </w:t>
          </w:r>
          <w:r w:rsidR="00773B42">
            <w:rPr>
              <w:b/>
              <w:sz w:val="24"/>
            </w:rPr>
            <w:t>Immissionsschutz</w:t>
          </w:r>
          <w:r>
            <w:rPr>
              <w:b/>
              <w:sz w:val="24"/>
            </w:rPr>
            <w:t>behörde</w:t>
          </w:r>
        </w:p>
      </w:tc>
      <w:tc>
        <w:tcPr>
          <w:tcW w:w="2877" w:type="dxa"/>
          <w:vAlign w:val="bottom"/>
        </w:tcPr>
        <w:p w:rsidR="00464C47" w:rsidP="007E4E53">
          <w:pPr>
            <w:pStyle w:val="Header"/>
            <w:tabs>
              <w:tab w:val="left" w:pos="708"/>
            </w:tabs>
            <w:ind w:left="-70" w:right="-10"/>
            <w:jc w:val="right"/>
            <w:rPr>
              <w:sz w:val="24"/>
            </w:rPr>
          </w:pPr>
          <w:r>
            <w:rPr>
              <w:sz w:val="24"/>
            </w:rPr>
            <w:t>D</w:t>
          </w:r>
          <w:r w:rsidR="007E4E53">
            <w:rPr>
              <w:sz w:val="24"/>
            </w:rPr>
            <w:t>i</w:t>
          </w:r>
          <w:r>
            <w:rPr>
              <w:sz w:val="24"/>
            </w:rPr>
            <w:t>e Oberbürgermeister</w:t>
          </w:r>
          <w:r w:rsidR="007E4E53">
            <w:rPr>
              <w:sz w:val="24"/>
            </w:rPr>
            <w:t>in</w:t>
          </w:r>
        </w:p>
      </w:tc>
      <w:tc>
        <w:tcPr>
          <w:tcW w:w="350" w:type="dxa"/>
          <w:vAlign w:val="bottom"/>
        </w:tcPr>
        <w:p w:rsidR="00464C47">
          <w:pPr>
            <w:pStyle w:val="Header"/>
            <w:tabs>
              <w:tab w:val="left" w:pos="708"/>
            </w:tabs>
            <w:rPr>
              <w:sz w:val="24"/>
            </w:rPr>
          </w:pPr>
        </w:p>
      </w:tc>
      <w:tc>
        <w:tcPr>
          <w:tcW w:w="2835" w:type="dxa"/>
          <w:vAlign w:val="bottom"/>
        </w:tcPr>
        <w:p w:rsidR="00464C47">
          <w:pPr>
            <w:pStyle w:val="Header"/>
            <w:tabs>
              <w:tab w:val="left" w:pos="708"/>
            </w:tabs>
            <w:rPr>
              <w:b/>
              <w:sz w:val="40"/>
            </w:rPr>
          </w:pPr>
        </w:p>
      </w:tc>
    </w:tr>
  </w:tbl>
  <w:p w:rsidR="00464C47">
    <w:pPr>
      <w:pStyle w:val="Header"/>
    </w:pPr>
    <w:bookmarkStart w:id="2" w:name="Fachbereich2"/>
    <w:bookmarkEnd w:id="2"/>
    <w:r>
      <w:rPr>
        <w:b/>
        <w:noProof/>
      </w:rPr>
      <w:drawing>
        <wp:anchor distT="0" distB="0" distL="114300" distR="114300" simplePos="0" relativeHeight="251658240" behindDoc="0" locked="0" layoutInCell="0" allowOverlap="1">
          <wp:simplePos x="0" y="0"/>
          <wp:positionH relativeFrom="column">
            <wp:posOffset>4499610</wp:posOffset>
          </wp:positionH>
          <wp:positionV relativeFrom="paragraph">
            <wp:posOffset>-518490</wp:posOffset>
          </wp:positionV>
          <wp:extent cx="1800225" cy="1090295"/>
          <wp:effectExtent l="0" t="0" r="9525" b="0"/>
          <wp:wrapNone/>
          <wp:docPr id="6" name="Bild 6" descr="pfad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fadsta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0225"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2164A"/>
    <w:multiLevelType w:val="hybridMultilevel"/>
    <w:tmpl w:val="D7F8BD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FCE3365"/>
    <w:multiLevelType w:val="hybridMultilevel"/>
    <w:tmpl w:val="BF3A90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6BB3905"/>
    <w:multiLevelType w:val="hybridMultilevel"/>
    <w:tmpl w:val="ADA08404"/>
    <w:lvl w:ilvl="0">
      <w:start w:val="26"/>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6A"/>
    <w:rsid w:val="000529D5"/>
    <w:rsid w:val="00057287"/>
    <w:rsid w:val="000629C4"/>
    <w:rsid w:val="00065813"/>
    <w:rsid w:val="0008364C"/>
    <w:rsid w:val="00086249"/>
    <w:rsid w:val="000A0075"/>
    <w:rsid w:val="000A4C2B"/>
    <w:rsid w:val="000B6610"/>
    <w:rsid w:val="000C7A4B"/>
    <w:rsid w:val="000D42B1"/>
    <w:rsid w:val="000E3C9B"/>
    <w:rsid w:val="000F1DEF"/>
    <w:rsid w:val="00121769"/>
    <w:rsid w:val="00137FF0"/>
    <w:rsid w:val="00144045"/>
    <w:rsid w:val="00147480"/>
    <w:rsid w:val="00170079"/>
    <w:rsid w:val="00173E6B"/>
    <w:rsid w:val="00194B93"/>
    <w:rsid w:val="001C21D5"/>
    <w:rsid w:val="001E795A"/>
    <w:rsid w:val="002244E7"/>
    <w:rsid w:val="00263833"/>
    <w:rsid w:val="00282704"/>
    <w:rsid w:val="002B1E80"/>
    <w:rsid w:val="002B4139"/>
    <w:rsid w:val="002E159B"/>
    <w:rsid w:val="00304BCD"/>
    <w:rsid w:val="00313B6A"/>
    <w:rsid w:val="00362143"/>
    <w:rsid w:val="00392F6F"/>
    <w:rsid w:val="003C4631"/>
    <w:rsid w:val="003E4060"/>
    <w:rsid w:val="003F1C8C"/>
    <w:rsid w:val="003F6207"/>
    <w:rsid w:val="00401362"/>
    <w:rsid w:val="00410836"/>
    <w:rsid w:val="0041207F"/>
    <w:rsid w:val="00426DEF"/>
    <w:rsid w:val="00440005"/>
    <w:rsid w:val="00464C47"/>
    <w:rsid w:val="00482750"/>
    <w:rsid w:val="00490047"/>
    <w:rsid w:val="004D103B"/>
    <w:rsid w:val="004F63E2"/>
    <w:rsid w:val="00511F6C"/>
    <w:rsid w:val="005140EE"/>
    <w:rsid w:val="00530F6C"/>
    <w:rsid w:val="00540D7C"/>
    <w:rsid w:val="00544C4C"/>
    <w:rsid w:val="0054511C"/>
    <w:rsid w:val="0055548F"/>
    <w:rsid w:val="005866AC"/>
    <w:rsid w:val="00593A3A"/>
    <w:rsid w:val="005E51F7"/>
    <w:rsid w:val="005F121A"/>
    <w:rsid w:val="00613BEF"/>
    <w:rsid w:val="00613C7E"/>
    <w:rsid w:val="00631690"/>
    <w:rsid w:val="006426FE"/>
    <w:rsid w:val="006779D7"/>
    <w:rsid w:val="00682E7D"/>
    <w:rsid w:val="006837C7"/>
    <w:rsid w:val="006A3911"/>
    <w:rsid w:val="006F4504"/>
    <w:rsid w:val="00713963"/>
    <w:rsid w:val="00773B42"/>
    <w:rsid w:val="00774974"/>
    <w:rsid w:val="007A1A95"/>
    <w:rsid w:val="007C4226"/>
    <w:rsid w:val="007D1491"/>
    <w:rsid w:val="007E4E53"/>
    <w:rsid w:val="008057C3"/>
    <w:rsid w:val="008064B8"/>
    <w:rsid w:val="008116D9"/>
    <w:rsid w:val="0082306B"/>
    <w:rsid w:val="0086003B"/>
    <w:rsid w:val="00865FB8"/>
    <w:rsid w:val="00890A66"/>
    <w:rsid w:val="008B1BD9"/>
    <w:rsid w:val="008D1E83"/>
    <w:rsid w:val="008D5A5A"/>
    <w:rsid w:val="008E4568"/>
    <w:rsid w:val="00926FE3"/>
    <w:rsid w:val="00945051"/>
    <w:rsid w:val="0096391C"/>
    <w:rsid w:val="009771B1"/>
    <w:rsid w:val="00995490"/>
    <w:rsid w:val="009A6E8D"/>
    <w:rsid w:val="009B2403"/>
    <w:rsid w:val="009C17AC"/>
    <w:rsid w:val="009D468B"/>
    <w:rsid w:val="009D556E"/>
    <w:rsid w:val="009E6AFF"/>
    <w:rsid w:val="009F02DC"/>
    <w:rsid w:val="009F517B"/>
    <w:rsid w:val="00A229DA"/>
    <w:rsid w:val="00A26A5B"/>
    <w:rsid w:val="00A3099E"/>
    <w:rsid w:val="00A44248"/>
    <w:rsid w:val="00A464B1"/>
    <w:rsid w:val="00A53E1D"/>
    <w:rsid w:val="00A84FB5"/>
    <w:rsid w:val="00AB3E00"/>
    <w:rsid w:val="00AB6B50"/>
    <w:rsid w:val="00AC64DD"/>
    <w:rsid w:val="00AC7555"/>
    <w:rsid w:val="00AD3E98"/>
    <w:rsid w:val="00B26A50"/>
    <w:rsid w:val="00B34ED1"/>
    <w:rsid w:val="00B47EA8"/>
    <w:rsid w:val="00B56446"/>
    <w:rsid w:val="00B96BC9"/>
    <w:rsid w:val="00BB5D47"/>
    <w:rsid w:val="00BC2D2F"/>
    <w:rsid w:val="00BD10D6"/>
    <w:rsid w:val="00BE46A1"/>
    <w:rsid w:val="00BF74E1"/>
    <w:rsid w:val="00C071D5"/>
    <w:rsid w:val="00C14B44"/>
    <w:rsid w:val="00C32C4F"/>
    <w:rsid w:val="00C96493"/>
    <w:rsid w:val="00CB1D7C"/>
    <w:rsid w:val="00CD6BA5"/>
    <w:rsid w:val="00CD7502"/>
    <w:rsid w:val="00D0435E"/>
    <w:rsid w:val="00D047DD"/>
    <w:rsid w:val="00D051CF"/>
    <w:rsid w:val="00D10702"/>
    <w:rsid w:val="00D10E9B"/>
    <w:rsid w:val="00D71C6D"/>
    <w:rsid w:val="00D844FF"/>
    <w:rsid w:val="00D9090F"/>
    <w:rsid w:val="00D9096D"/>
    <w:rsid w:val="00DE6088"/>
    <w:rsid w:val="00E23427"/>
    <w:rsid w:val="00E3710A"/>
    <w:rsid w:val="00E446B6"/>
    <w:rsid w:val="00E466AF"/>
    <w:rsid w:val="00E67D4C"/>
    <w:rsid w:val="00E7464B"/>
    <w:rsid w:val="00E83010"/>
    <w:rsid w:val="00E83ABF"/>
    <w:rsid w:val="00E95252"/>
    <w:rsid w:val="00EA1012"/>
    <w:rsid w:val="00EA3C3D"/>
    <w:rsid w:val="00EB28D1"/>
    <w:rsid w:val="00EC1F71"/>
    <w:rsid w:val="00EC7E6F"/>
    <w:rsid w:val="00EE211B"/>
    <w:rsid w:val="00EE6958"/>
    <w:rsid w:val="00F0659E"/>
    <w:rsid w:val="00F13621"/>
    <w:rsid w:val="00F550EA"/>
    <w:rsid w:val="00F71FB5"/>
    <w:rsid w:val="00F92BCF"/>
    <w:rsid w:val="00F94463"/>
    <w:rsid w:val="00FB78F6"/>
    <w:rsid w:val="00FD6C4D"/>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doNotIncludeSubdocsInStats/>
  <w14:docId w14:val="4FB373D0"/>
  <w15:docId w15:val="{3334FACB-38A4-4D6E-8392-2D7BC3C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E6F"/>
    <w:pPr>
      <w:widowControl w:val="0"/>
      <w:autoSpaceDE w:val="0"/>
      <w:autoSpaceDN w:val="0"/>
      <w:adjustRightInd w:val="0"/>
      <w:spacing w:after="120"/>
    </w:pPr>
    <w:rPr>
      <w:rFonts w:ascii="Arial Narrow" w:hAnsi="Arial Narrow"/>
      <w:sz w:val="22"/>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sNrRechts">
    <w:name w:val="1AbsNrRechts"/>
    <w:pPr>
      <w:widowControl w:val="0"/>
      <w:autoSpaceDE w:val="0"/>
      <w:autoSpaceDN w:val="0"/>
      <w:adjustRightInd w:val="0"/>
      <w:ind w:hanging="720"/>
      <w:jc w:val="both"/>
    </w:pPr>
    <w:rPr>
      <w:rFonts w:ascii="Times New Roman Standard" w:hAnsi="Times New Roman Standard"/>
      <w:szCs w:val="24"/>
    </w:rPr>
  </w:style>
  <w:style w:type="paragraph" w:customStyle="1" w:styleId="2AbsNrRechts">
    <w:name w:val="2AbsNrRechts"/>
    <w:pPr>
      <w:widowControl w:val="0"/>
      <w:tabs>
        <w:tab w:val="left" w:pos="720"/>
      </w:tabs>
      <w:autoSpaceDE w:val="0"/>
      <w:autoSpaceDN w:val="0"/>
      <w:adjustRightInd w:val="0"/>
      <w:ind w:left="720" w:hanging="1440"/>
      <w:jc w:val="both"/>
    </w:pPr>
    <w:rPr>
      <w:rFonts w:ascii="Times New Roman Standard" w:hAnsi="Times New Roman Standard"/>
      <w:szCs w:val="24"/>
    </w:rPr>
  </w:style>
  <w:style w:type="paragraph" w:customStyle="1" w:styleId="3AbsNrRechts">
    <w:name w:val="3AbsNrRechts"/>
    <w:pPr>
      <w:widowControl w:val="0"/>
      <w:tabs>
        <w:tab w:val="left" w:pos="720"/>
        <w:tab w:val="left" w:pos="1440"/>
      </w:tabs>
      <w:autoSpaceDE w:val="0"/>
      <w:autoSpaceDN w:val="0"/>
      <w:adjustRightInd w:val="0"/>
      <w:ind w:left="1440" w:hanging="2160"/>
      <w:jc w:val="both"/>
    </w:pPr>
    <w:rPr>
      <w:rFonts w:ascii="Times New Roman Standard" w:hAnsi="Times New Roman Standard"/>
      <w:szCs w:val="24"/>
    </w:rPr>
  </w:style>
  <w:style w:type="paragraph" w:customStyle="1" w:styleId="4AbsNrRechts">
    <w:name w:val="4AbsNrRechts"/>
    <w:pPr>
      <w:widowControl w:val="0"/>
      <w:tabs>
        <w:tab w:val="left" w:pos="720"/>
        <w:tab w:val="left" w:pos="1440"/>
        <w:tab w:val="left" w:pos="2160"/>
      </w:tabs>
      <w:autoSpaceDE w:val="0"/>
      <w:autoSpaceDN w:val="0"/>
      <w:adjustRightInd w:val="0"/>
      <w:ind w:left="2160" w:hanging="3600"/>
      <w:jc w:val="both"/>
    </w:pPr>
    <w:rPr>
      <w:rFonts w:ascii="Times New Roman Standard" w:hAnsi="Times New Roman Standard"/>
      <w:szCs w:val="24"/>
    </w:rPr>
  </w:style>
  <w:style w:type="paragraph" w:customStyle="1" w:styleId="5AbsNrRechts">
    <w:name w:val="5AbsNrRechts"/>
    <w:pPr>
      <w:widowControl w:val="0"/>
      <w:tabs>
        <w:tab w:val="left" w:pos="720"/>
        <w:tab w:val="left" w:pos="1440"/>
        <w:tab w:val="left" w:pos="2160"/>
        <w:tab w:val="left" w:pos="2880"/>
      </w:tabs>
      <w:autoSpaceDE w:val="0"/>
      <w:autoSpaceDN w:val="0"/>
      <w:adjustRightInd w:val="0"/>
      <w:ind w:left="2880" w:hanging="5040"/>
      <w:jc w:val="both"/>
    </w:pPr>
    <w:rPr>
      <w:rFonts w:ascii="Times New Roman Standard" w:hAnsi="Times New Roman Standard"/>
      <w:szCs w:val="24"/>
    </w:rPr>
  </w:style>
  <w:style w:type="paragraph" w:customStyle="1" w:styleId="6AbsNrRechts">
    <w:name w:val="6AbsNrRechts"/>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New Roman Standard" w:hAnsi="Times New Roman Standard"/>
      <w:szCs w:val="24"/>
    </w:rPr>
  </w:style>
  <w:style w:type="paragraph" w:customStyle="1" w:styleId="7AbsNrRechts">
    <w:name w:val="7AbsNrRechts"/>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New Roman Standard" w:hAnsi="Times New Roman Standard"/>
      <w:szCs w:val="24"/>
    </w:rPr>
  </w:style>
  <w:style w:type="paragraph" w:customStyle="1" w:styleId="8AbsNrRechts">
    <w:name w:val="8AbsNrRecht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New Roman Standard" w:hAnsi="Times New Roman Standard"/>
      <w:szCs w:val="24"/>
    </w:rPr>
  </w:style>
  <w:style w:type="paragraph" w:customStyle="1" w:styleId="1FormatInh">
    <w:name w:val="1FormatInh"/>
    <w:pPr>
      <w:keepNext/>
      <w:widowControl w:val="0"/>
      <w:autoSpaceDE w:val="0"/>
      <w:autoSpaceDN w:val="0"/>
      <w:adjustRightInd w:val="0"/>
      <w:jc w:val="center"/>
    </w:pPr>
    <w:rPr>
      <w:rFonts w:ascii="Times New Roman Standard" w:hAnsi="Times New Roman Standard"/>
      <w:szCs w:val="24"/>
    </w:rPr>
  </w:style>
  <w:style w:type="paragraph" w:customStyle="1" w:styleId="2FormatInh">
    <w:name w:val="2FormatInh"/>
    <w:pPr>
      <w:widowControl w:val="0"/>
      <w:autoSpaceDE w:val="0"/>
      <w:autoSpaceDN w:val="0"/>
      <w:adjustRightInd w:val="0"/>
      <w:jc w:val="both"/>
    </w:pPr>
    <w:rPr>
      <w:rFonts w:ascii="Times New Roman Standard" w:hAnsi="Times New Roman Standard"/>
      <w:szCs w:val="24"/>
    </w:rPr>
  </w:style>
  <w:style w:type="paragraph" w:customStyle="1" w:styleId="3FormatInh">
    <w:name w:val="3FormatInh"/>
    <w:pPr>
      <w:widowControl w:val="0"/>
      <w:autoSpaceDE w:val="0"/>
      <w:autoSpaceDN w:val="0"/>
      <w:adjustRightInd w:val="0"/>
      <w:jc w:val="both"/>
    </w:pPr>
    <w:rPr>
      <w:rFonts w:ascii="Times New Roman Standard" w:hAnsi="Times New Roman Standard"/>
      <w:szCs w:val="24"/>
    </w:rPr>
  </w:style>
  <w:style w:type="paragraph" w:customStyle="1" w:styleId="4FormatInh">
    <w:name w:val="4FormatInh"/>
    <w:pPr>
      <w:widowControl w:val="0"/>
      <w:autoSpaceDE w:val="0"/>
      <w:autoSpaceDN w:val="0"/>
      <w:adjustRightInd w:val="0"/>
    </w:pPr>
    <w:rPr>
      <w:rFonts w:ascii="Times New Roman Standard" w:hAnsi="Times New Roman Standard"/>
      <w:szCs w:val="24"/>
    </w:rPr>
  </w:style>
  <w:style w:type="paragraph" w:customStyle="1" w:styleId="5FormatInh">
    <w:name w:val="5FormatInh"/>
    <w:pPr>
      <w:widowControl w:val="0"/>
      <w:autoSpaceDE w:val="0"/>
      <w:autoSpaceDN w:val="0"/>
      <w:adjustRightInd w:val="0"/>
      <w:ind w:left="720"/>
      <w:jc w:val="both"/>
    </w:pPr>
    <w:rPr>
      <w:rFonts w:ascii="Times New Roman Standard" w:hAnsi="Times New Roman Standard"/>
      <w:szCs w:val="24"/>
    </w:rPr>
  </w:style>
  <w:style w:type="paragraph" w:customStyle="1" w:styleId="6FormatInh">
    <w:name w:val="6FormatInh"/>
    <w:pPr>
      <w:widowControl w:val="0"/>
      <w:autoSpaceDE w:val="0"/>
      <w:autoSpaceDN w:val="0"/>
      <w:adjustRightInd w:val="0"/>
      <w:ind w:left="720" w:right="720"/>
      <w:jc w:val="both"/>
    </w:pPr>
    <w:rPr>
      <w:rFonts w:ascii="Times New Roman Standard" w:hAnsi="Times New Roman Standard"/>
      <w:szCs w:val="24"/>
    </w:rPr>
  </w:style>
  <w:style w:type="paragraph" w:customStyle="1" w:styleId="7FormatInh">
    <w:name w:val="7FormatInh"/>
    <w:pPr>
      <w:widowControl w:val="0"/>
      <w:autoSpaceDE w:val="0"/>
      <w:autoSpaceDN w:val="0"/>
      <w:adjustRightInd w:val="0"/>
      <w:ind w:left="1440"/>
      <w:jc w:val="both"/>
    </w:pPr>
    <w:rPr>
      <w:rFonts w:ascii="Times New Roman Standard" w:hAnsi="Times New Roman Standard"/>
      <w:szCs w:val="24"/>
    </w:rPr>
  </w:style>
  <w:style w:type="paragraph" w:customStyle="1" w:styleId="8FormatInh">
    <w:name w:val="8FormatInh"/>
    <w:pPr>
      <w:widowControl w:val="0"/>
      <w:autoSpaceDE w:val="0"/>
      <w:autoSpaceDN w:val="0"/>
      <w:adjustRightInd w:val="0"/>
      <w:ind w:left="1440" w:right="720"/>
      <w:jc w:val="both"/>
    </w:pPr>
    <w:rPr>
      <w:rFonts w:ascii="Times New Roman Standard" w:hAnsi="Times New Roman Standard"/>
      <w:szCs w:val="24"/>
    </w:rPr>
  </w:style>
  <w:style w:type="paragraph" w:customStyle="1" w:styleId="1Document">
    <w:name w:val="1Document"/>
    <w:pPr>
      <w:widowControl w:val="0"/>
      <w:autoSpaceDE w:val="0"/>
      <w:autoSpaceDN w:val="0"/>
      <w:adjustRightInd w:val="0"/>
      <w:ind w:left="-1440"/>
      <w:jc w:val="both"/>
    </w:pPr>
    <w:rPr>
      <w:rFonts w:ascii="Times New Roman Standard" w:hAnsi="Times New Roman Standard"/>
      <w:szCs w:val="24"/>
    </w:rPr>
  </w:style>
  <w:style w:type="paragraph" w:customStyle="1" w:styleId="2Document">
    <w:name w:val="2Document"/>
    <w:pPr>
      <w:widowControl w:val="0"/>
      <w:autoSpaceDE w:val="0"/>
      <w:autoSpaceDN w:val="0"/>
      <w:adjustRightInd w:val="0"/>
      <w:ind w:left="-1440"/>
      <w:jc w:val="both"/>
    </w:pPr>
    <w:rPr>
      <w:rFonts w:ascii="Times New Roman Standard" w:hAnsi="Times New Roman Standard"/>
      <w:szCs w:val="24"/>
    </w:rPr>
  </w:style>
  <w:style w:type="paragraph" w:customStyle="1" w:styleId="3Document">
    <w:name w:val="3Document"/>
    <w:pPr>
      <w:widowControl w:val="0"/>
      <w:autoSpaceDE w:val="0"/>
      <w:autoSpaceDN w:val="0"/>
      <w:adjustRightInd w:val="0"/>
      <w:ind w:left="-1440"/>
      <w:jc w:val="both"/>
    </w:pPr>
    <w:rPr>
      <w:rFonts w:ascii="Times New Roman Standard" w:hAnsi="Times New Roman Standard"/>
      <w:szCs w:val="24"/>
    </w:rPr>
  </w:style>
  <w:style w:type="paragraph" w:customStyle="1" w:styleId="4Document">
    <w:name w:val="4Document"/>
    <w:pPr>
      <w:widowControl w:val="0"/>
      <w:autoSpaceDE w:val="0"/>
      <w:autoSpaceDN w:val="0"/>
      <w:adjustRightInd w:val="0"/>
      <w:ind w:left="-1440"/>
      <w:jc w:val="both"/>
    </w:pPr>
    <w:rPr>
      <w:rFonts w:ascii="Times New Roman Standard" w:hAnsi="Times New Roman Standard"/>
      <w:szCs w:val="24"/>
    </w:rPr>
  </w:style>
  <w:style w:type="paragraph" w:customStyle="1" w:styleId="5Document">
    <w:name w:val="5Document"/>
    <w:pPr>
      <w:widowControl w:val="0"/>
      <w:autoSpaceDE w:val="0"/>
      <w:autoSpaceDN w:val="0"/>
      <w:adjustRightInd w:val="0"/>
      <w:ind w:left="-1440"/>
      <w:jc w:val="both"/>
    </w:pPr>
    <w:rPr>
      <w:rFonts w:ascii="Times New Roman Standard" w:hAnsi="Times New Roman Standard"/>
      <w:szCs w:val="24"/>
    </w:rPr>
  </w:style>
  <w:style w:type="paragraph" w:customStyle="1" w:styleId="6Document">
    <w:name w:val="6Document"/>
    <w:pPr>
      <w:widowControl w:val="0"/>
      <w:autoSpaceDE w:val="0"/>
      <w:autoSpaceDN w:val="0"/>
      <w:adjustRightInd w:val="0"/>
      <w:ind w:left="-1440"/>
      <w:jc w:val="both"/>
    </w:pPr>
    <w:rPr>
      <w:rFonts w:ascii="Times New Roman Standard" w:hAnsi="Times New Roman Standard"/>
      <w:szCs w:val="24"/>
    </w:rPr>
  </w:style>
  <w:style w:type="paragraph" w:customStyle="1" w:styleId="7Document">
    <w:name w:val="7Document"/>
    <w:pPr>
      <w:widowControl w:val="0"/>
      <w:autoSpaceDE w:val="0"/>
      <w:autoSpaceDN w:val="0"/>
      <w:adjustRightInd w:val="0"/>
      <w:ind w:left="-1440"/>
      <w:jc w:val="both"/>
    </w:pPr>
    <w:rPr>
      <w:rFonts w:ascii="Times New Roman Standard" w:hAnsi="Times New Roman Standard"/>
      <w:szCs w:val="24"/>
    </w:rPr>
  </w:style>
  <w:style w:type="paragraph" w:customStyle="1" w:styleId="8Document">
    <w:name w:val="8Document"/>
    <w:pPr>
      <w:widowControl w:val="0"/>
      <w:autoSpaceDE w:val="0"/>
      <w:autoSpaceDN w:val="0"/>
      <w:adjustRightInd w:val="0"/>
      <w:ind w:left="-1440"/>
      <w:jc w:val="both"/>
    </w:pPr>
    <w:rPr>
      <w:rFonts w:ascii="Times New Roman Standard" w:hAnsi="Times New Roman Standard"/>
      <w:szCs w:val="24"/>
    </w:rPr>
  </w:style>
  <w:style w:type="character" w:customStyle="1" w:styleId="MarkInhalt">
    <w:name w:val="MarkInhalt"/>
  </w:style>
  <w:style w:type="character" w:customStyle="1" w:styleId="Bblgraphie">
    <w:name w:val="Bblgraphie"/>
  </w:style>
  <w:style w:type="paragraph" w:styleId="Header">
    <w:name w:val="header"/>
    <w:basedOn w:val="Normal"/>
    <w:link w:val="KopfzeileZchn"/>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SprechblasentextZchn"/>
    <w:rsid w:val="00511F6C"/>
    <w:pPr>
      <w:spacing w:after="0"/>
    </w:pPr>
    <w:rPr>
      <w:rFonts w:ascii="Tahoma" w:hAnsi="Tahoma" w:cs="Tahoma"/>
      <w:sz w:val="16"/>
      <w:szCs w:val="16"/>
    </w:rPr>
  </w:style>
  <w:style w:type="character" w:customStyle="1" w:styleId="SprechblasentextZchn">
    <w:name w:val="Sprechblasentext Zchn"/>
    <w:basedOn w:val="DefaultParagraphFont"/>
    <w:link w:val="BalloonText"/>
    <w:rsid w:val="00511F6C"/>
    <w:rPr>
      <w:rFonts w:ascii="Tahoma" w:hAnsi="Tahoma" w:cs="Tahoma"/>
      <w:sz w:val="16"/>
      <w:szCs w:val="16"/>
    </w:rPr>
  </w:style>
  <w:style w:type="paragraph" w:styleId="ListParagraph">
    <w:name w:val="List Paragraph"/>
    <w:basedOn w:val="Normal"/>
    <w:uiPriority w:val="34"/>
    <w:qFormat/>
    <w:rsid w:val="000B6610"/>
    <w:pPr>
      <w:ind w:left="720"/>
      <w:contextualSpacing/>
    </w:pPr>
  </w:style>
  <w:style w:type="character" w:customStyle="1" w:styleId="KopfzeileZchn">
    <w:name w:val="Kopfzeile Zchn"/>
    <w:basedOn w:val="DefaultParagraphFont"/>
    <w:link w:val="Header"/>
    <w:uiPriority w:val="99"/>
    <w:rsid w:val="008D1E83"/>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U:\Vorlagen\Vermerk_allgemein.dotx"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DDF0-C098-4DE1-912C-71FA6B3B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Vermerk_allgemein</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KOPF – Eigentümer / Verwalter</vt:lpstr>
    </vt:vector>
  </TitlesOfParts>
  <Company>GKDVZ</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KOPF – Eigentümer / Verwalter</dc:title>
  <dc:creator>Gaß, Sebastian</dc:creator>
  <cp:lastModifiedBy>Gaß, Sebastian</cp:lastModifiedBy>
  <cp:revision>8</cp:revision>
  <cp:lastPrinted>2021-07-08T13:15:00Z</cp:lastPrinted>
  <dcterms:created xsi:type="dcterms:W3CDTF">2023-10-25T11:36:00Z</dcterms:created>
  <dcterms:modified xsi:type="dcterms:W3CDTF">2023-10-26T05:27:00Z</dcterms:modified>
</cp:coreProperties>
</file>

<file path=docProps/custom.xml><?xml version="1.0" encoding="utf-8"?>
<Properties xmlns="http://schemas.openxmlformats.org/officeDocument/2006/custom-properties" xmlns:vt="http://schemas.openxmlformats.org/officeDocument/2006/docPropsVTypes">
  <property fmtid="{F21D9941-81F0-471A-ADEE-4E74B49217ED}" pid="100">
    <vt:lpwstr>nscale::8ae980b1-697ae9c4-0169-7ae9e619-0002::eGOV$NOTSET$4062947$2$NOTSET::0::stac-egov-kern.archiv.regioit.intern::8081::nscale000eGov::1) eAkte - Stadt Aachen - Produktivsystem</vt:lpwstr>
  </property>
</Properties>
</file>