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rText"/>
        <w:widowControl w:val="0"/>
        <w:spacing w:after="120"/>
        <w:jc w:val="center"/>
        <w:rPr>
          <w:rFonts w:ascii="Arial" w:hAnsi="Arial" w:cs="Arial"/>
          <w:sz w:val="24"/>
          <w:szCs w:val="24"/>
        </w:rPr>
      </w:pPr>
      <w:r>
        <w:rPr>
          <w:rFonts w:ascii="Arial" w:hAnsi="Arial" w:cs="Arial"/>
          <w:sz w:val="24"/>
          <w:szCs w:val="24"/>
        </w:rPr>
        <w:t>Bezirksregierung Köln</w:t>
      </w:r>
    </w:p>
    <w:p>
      <w:pPr>
        <w:pStyle w:val="NurText"/>
        <w:widowControl w:val="0"/>
        <w:spacing w:after="120"/>
        <w:jc w:val="center"/>
        <w:rPr>
          <w:rFonts w:ascii="Arial" w:hAnsi="Arial" w:cs="Arial"/>
          <w:b/>
          <w:sz w:val="24"/>
          <w:szCs w:val="24"/>
        </w:rPr>
      </w:pPr>
      <w:r>
        <w:rPr>
          <w:rFonts w:ascii="Arial" w:hAnsi="Arial" w:cs="Arial"/>
          <w:b/>
          <w:sz w:val="24"/>
          <w:szCs w:val="24"/>
        </w:rPr>
        <w:t>Öffentliche Bekanntmachung</w:t>
      </w:r>
    </w:p>
    <w:p>
      <w:pPr>
        <w:pStyle w:val="NurText"/>
        <w:widowControl w:val="0"/>
        <w:spacing w:after="120"/>
        <w:jc w:val="center"/>
        <w:rPr>
          <w:rFonts w:ascii="Arial" w:hAnsi="Arial" w:cs="Arial"/>
          <w:b/>
          <w:sz w:val="24"/>
          <w:szCs w:val="24"/>
        </w:rPr>
      </w:pPr>
      <w:r>
        <w:rPr>
          <w:rFonts w:ascii="Arial" w:hAnsi="Arial" w:cs="Arial"/>
          <w:b/>
          <w:sz w:val="24"/>
          <w:szCs w:val="24"/>
        </w:rPr>
        <w:t>Genehmigungsverfahren gemäß Bundes-Immissionsschutzgesetz</w:t>
      </w:r>
    </w:p>
    <w:p>
      <w:pPr>
        <w:pStyle w:val="NurText"/>
        <w:widowControl w:val="0"/>
        <w:spacing w:after="120"/>
        <w:jc w:val="center"/>
        <w:rPr>
          <w:rFonts w:ascii="Arial" w:hAnsi="Arial" w:cs="Arial"/>
          <w:b/>
          <w:sz w:val="24"/>
          <w:szCs w:val="24"/>
        </w:rPr>
      </w:pPr>
      <w:r>
        <w:rPr>
          <w:rFonts w:ascii="Arial" w:hAnsi="Arial" w:cs="Arial"/>
          <w:b/>
          <w:sz w:val="24"/>
          <w:szCs w:val="24"/>
        </w:rPr>
        <w:t>der Shell Deutschland GmbH</w:t>
      </w:r>
    </w:p>
    <w:p>
      <w:pPr>
        <w:pStyle w:val="NurText"/>
        <w:widowControl w:val="0"/>
        <w:spacing w:after="120"/>
        <w:jc w:val="center"/>
        <w:rPr>
          <w:rFonts w:ascii="Arial" w:hAnsi="Arial" w:cs="Arial"/>
          <w:sz w:val="24"/>
          <w:szCs w:val="24"/>
        </w:rPr>
      </w:pPr>
      <w:r>
        <w:rPr>
          <w:rFonts w:ascii="Arial" w:hAnsi="Arial" w:cs="Arial"/>
          <w:sz w:val="24"/>
          <w:szCs w:val="24"/>
        </w:rPr>
        <w:t>Az.: 300-53.00036/22-Ru</w:t>
      </w:r>
    </w:p>
    <w:p>
      <w:pPr>
        <w:pStyle w:val="NurText"/>
        <w:widowControl w:val="0"/>
        <w:spacing w:after="120"/>
        <w:jc w:val="both"/>
        <w:rPr>
          <w:rFonts w:ascii="Arial" w:hAnsi="Arial" w:cs="Arial"/>
          <w:sz w:val="24"/>
          <w:szCs w:val="24"/>
          <w:u w:val="single"/>
        </w:rPr>
      </w:pPr>
    </w:p>
    <w:p>
      <w:pPr>
        <w:pStyle w:val="NurText"/>
        <w:widowControl w:val="0"/>
        <w:spacing w:after="120"/>
        <w:jc w:val="both"/>
        <w:rPr>
          <w:rFonts w:ascii="Arial" w:hAnsi="Arial" w:cs="Arial"/>
          <w:sz w:val="24"/>
          <w:szCs w:val="24"/>
        </w:rPr>
      </w:pPr>
      <w:bookmarkStart w:id="0" w:name="_GoBack"/>
      <w:bookmarkEnd w:id="0"/>
    </w:p>
    <w:p>
      <w:pPr>
        <w:pStyle w:val="NurText"/>
        <w:widowControl w:val="0"/>
        <w:spacing w:after="120"/>
        <w:jc w:val="both"/>
        <w:outlineLvl w:val="0"/>
        <w:rPr>
          <w:rFonts w:ascii="Arial" w:hAnsi="Arial" w:cs="Arial"/>
          <w:sz w:val="24"/>
          <w:szCs w:val="24"/>
        </w:rPr>
      </w:pPr>
      <w:r>
        <w:rPr>
          <w:rFonts w:ascii="Arial" w:hAnsi="Arial" w:cs="Arial"/>
          <w:sz w:val="24"/>
          <w:szCs w:val="24"/>
        </w:rPr>
        <w:t xml:space="preserve">Der </w:t>
      </w:r>
      <w:r>
        <w:rPr>
          <w:rFonts w:ascii="Arial" w:hAnsi="Arial" w:cs="Arial"/>
          <w:b/>
          <w:sz w:val="24"/>
          <w:szCs w:val="24"/>
        </w:rPr>
        <w:t>Erörterungstermin</w:t>
      </w:r>
      <w:r>
        <w:rPr>
          <w:rFonts w:ascii="Arial" w:hAnsi="Arial" w:cs="Arial"/>
          <w:sz w:val="24"/>
          <w:szCs w:val="24"/>
        </w:rPr>
        <w:t xml:space="preserve"> wird bestimmt auf </w:t>
      </w:r>
    </w:p>
    <w:p>
      <w:pPr>
        <w:pStyle w:val="NurText"/>
        <w:widowControl w:val="0"/>
        <w:spacing w:after="120"/>
        <w:jc w:val="both"/>
        <w:outlineLvl w:val="0"/>
        <w:rPr>
          <w:rFonts w:ascii="Arial" w:hAnsi="Arial" w:cs="Arial"/>
          <w:sz w:val="24"/>
          <w:szCs w:val="24"/>
        </w:rPr>
      </w:pPr>
    </w:p>
    <w:p>
      <w:pPr>
        <w:pStyle w:val="NurText"/>
        <w:widowControl w:val="0"/>
        <w:spacing w:after="120"/>
        <w:jc w:val="center"/>
        <w:rPr>
          <w:rFonts w:ascii="Arial" w:hAnsi="Arial" w:cs="Arial"/>
          <w:b/>
          <w:sz w:val="24"/>
          <w:szCs w:val="24"/>
        </w:rPr>
      </w:pPr>
      <w:r>
        <w:rPr>
          <w:rFonts w:ascii="Arial" w:hAnsi="Arial" w:cs="Arial"/>
          <w:b/>
          <w:sz w:val="24"/>
          <w:szCs w:val="24"/>
        </w:rPr>
        <w:t xml:space="preserve">Donnerstag, den 30. März 2023 ab 10 Uhr. </w:t>
      </w:r>
    </w:p>
    <w:p>
      <w:pPr>
        <w:pStyle w:val="NurText"/>
        <w:widowControl w:val="0"/>
        <w:spacing w:after="120"/>
        <w:jc w:val="both"/>
        <w:rPr>
          <w:rFonts w:ascii="Arial" w:hAnsi="Arial" w:cs="Arial"/>
          <w:color w:val="FF0000"/>
          <w:sz w:val="24"/>
          <w:szCs w:val="24"/>
        </w:rPr>
      </w:pPr>
    </w:p>
    <w:p>
      <w:pPr>
        <w:pStyle w:val="NurText"/>
        <w:widowControl w:val="0"/>
        <w:spacing w:after="120"/>
        <w:rPr>
          <w:rFonts w:ascii="Arial" w:hAnsi="Arial" w:cs="Arial"/>
          <w:sz w:val="24"/>
          <w:szCs w:val="24"/>
        </w:rPr>
      </w:pPr>
      <w:r>
        <w:rPr>
          <w:rFonts w:ascii="Arial" w:hAnsi="Arial" w:cs="Arial"/>
          <w:sz w:val="24"/>
          <w:szCs w:val="24"/>
        </w:rPr>
        <w:t>Er findet in den Räumlichkeiten des Ausbildungszentrums der Shell Deutschland GmbH, Ludwigshafener Straße 1 in 50389 Wesseling statt.</w:t>
      </w:r>
    </w:p>
    <w:p>
      <w:pPr>
        <w:pStyle w:val="NurText"/>
        <w:widowControl w:val="0"/>
        <w:spacing w:after="120"/>
        <w:jc w:val="both"/>
        <w:rPr>
          <w:rFonts w:ascii="Arial" w:hAnsi="Arial" w:cs="Arial"/>
          <w:sz w:val="24"/>
          <w:szCs w:val="24"/>
        </w:rPr>
      </w:pPr>
      <w:r>
        <w:rPr>
          <w:rFonts w:ascii="Arial" w:hAnsi="Arial" w:cs="Arial"/>
          <w:sz w:val="24"/>
          <w:szCs w:val="24"/>
        </w:rPr>
        <w:t>Der Termin wird bei Bedarf an einem der Folgetage am gleichen Ort fortgesetzt.</w:t>
      </w:r>
      <w:r>
        <w:t xml:space="preserve"> </w:t>
      </w:r>
      <w:r>
        <w:rPr>
          <w:rFonts w:ascii="Arial" w:hAnsi="Arial" w:cs="Arial"/>
          <w:sz w:val="24"/>
          <w:szCs w:val="24"/>
        </w:rPr>
        <w:t>Der Beginn wird ggf. am 30. März 2023 festgelegt.</w:t>
      </w:r>
    </w:p>
    <w:p>
      <w:pPr>
        <w:pStyle w:val="NurText"/>
        <w:widowControl w:val="0"/>
        <w:spacing w:after="120"/>
        <w:jc w:val="both"/>
        <w:rPr>
          <w:rFonts w:ascii="Arial" w:hAnsi="Arial" w:cs="Arial"/>
          <w:sz w:val="24"/>
          <w:szCs w:val="24"/>
        </w:rPr>
      </w:pPr>
      <w:r>
        <w:rPr>
          <w:rFonts w:ascii="Arial" w:hAnsi="Arial" w:cs="Arial"/>
          <w:sz w:val="24"/>
          <w:szCs w:val="24"/>
        </w:rPr>
        <w:t>Zu dem Erörterungstermin wird nicht gesondert eingeladen.</w:t>
      </w:r>
    </w:p>
    <w:p>
      <w:pPr>
        <w:pStyle w:val="NurText"/>
        <w:spacing w:after="120"/>
        <w:jc w:val="both"/>
        <w:rPr>
          <w:rFonts w:ascii="Arial" w:hAnsi="Arial" w:cs="Arial"/>
          <w:sz w:val="24"/>
          <w:szCs w:val="24"/>
        </w:rPr>
      </w:pPr>
      <w:r>
        <w:rPr>
          <w:rFonts w:ascii="Arial" w:hAnsi="Arial" w:cs="Arial"/>
          <w:sz w:val="24"/>
          <w:szCs w:val="24"/>
        </w:rPr>
        <w:t>Der Erörterungstermin findet gemäß § 16 Abs. 1 der 9. BImSchV nicht statt, wenn:</w:t>
      </w:r>
    </w:p>
    <w:p>
      <w:pPr>
        <w:pStyle w:val="NurText"/>
        <w:spacing w:after="120"/>
        <w:jc w:val="both"/>
        <w:rPr>
          <w:rFonts w:ascii="Arial" w:hAnsi="Arial" w:cs="Arial"/>
          <w:sz w:val="24"/>
          <w:szCs w:val="24"/>
        </w:rPr>
      </w:pPr>
      <w:r>
        <w:rPr>
          <w:rFonts w:ascii="Arial" w:hAnsi="Arial" w:cs="Arial"/>
          <w:sz w:val="24"/>
          <w:szCs w:val="24"/>
        </w:rPr>
        <w:t>1.</w:t>
      </w:r>
      <w:r>
        <w:rPr>
          <w:rFonts w:ascii="Arial" w:hAnsi="Arial" w:cs="Arial"/>
          <w:sz w:val="24"/>
          <w:szCs w:val="24"/>
        </w:rPr>
        <w:tab/>
        <w:t>Einwendungen gegen das Vorhaben nicht oder nicht rechtzeitig erhoben worden sind,</w:t>
      </w:r>
    </w:p>
    <w:p>
      <w:pPr>
        <w:pStyle w:val="NurText"/>
        <w:spacing w:after="120"/>
        <w:jc w:val="both"/>
        <w:rPr>
          <w:rFonts w:ascii="Arial" w:hAnsi="Arial" w:cs="Arial"/>
          <w:sz w:val="24"/>
          <w:szCs w:val="24"/>
        </w:rPr>
      </w:pPr>
      <w:r>
        <w:rPr>
          <w:rFonts w:ascii="Arial" w:hAnsi="Arial" w:cs="Arial"/>
          <w:sz w:val="24"/>
          <w:szCs w:val="24"/>
        </w:rPr>
        <w:t>2.</w:t>
      </w:r>
      <w:r>
        <w:rPr>
          <w:rFonts w:ascii="Arial" w:hAnsi="Arial" w:cs="Arial"/>
          <w:sz w:val="24"/>
          <w:szCs w:val="24"/>
        </w:rPr>
        <w:tab/>
        <w:t>die rechtzeitig erhobenen Einwendungen zurückgenommen worden sind,</w:t>
      </w:r>
    </w:p>
    <w:p>
      <w:pPr>
        <w:pStyle w:val="NurText"/>
        <w:spacing w:after="1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ausschließlich Einwendungen erhoben worden sind, die auf besonderen privatrechtlichen Titeln </w:t>
      </w:r>
      <w:r>
        <w:rPr>
          <w:rFonts w:ascii="Arial" w:hAnsi="Arial" w:cs="Arial"/>
          <w:sz w:val="24"/>
          <w:szCs w:val="24"/>
        </w:rPr>
        <w:tab/>
        <w:t>beruhen, oder</w:t>
      </w:r>
    </w:p>
    <w:p>
      <w:pPr>
        <w:pStyle w:val="NurText"/>
        <w:spacing w:after="120"/>
        <w:jc w:val="both"/>
        <w:rPr>
          <w:rFonts w:ascii="Arial" w:hAnsi="Arial" w:cs="Arial"/>
          <w:sz w:val="24"/>
          <w:szCs w:val="24"/>
        </w:rPr>
      </w:pPr>
      <w:r>
        <w:rPr>
          <w:rFonts w:ascii="Arial" w:hAnsi="Arial" w:cs="Arial"/>
          <w:sz w:val="24"/>
          <w:szCs w:val="24"/>
        </w:rPr>
        <w:t>4.</w:t>
      </w:r>
      <w:r>
        <w:rPr>
          <w:rFonts w:ascii="Arial" w:hAnsi="Arial" w:cs="Arial"/>
          <w:sz w:val="24"/>
          <w:szCs w:val="24"/>
        </w:rPr>
        <w:tab/>
        <w:t>die erhobenen Einwendungen nach der Einschätzung der Behörde keiner Erörterung bedürfen.</w:t>
      </w:r>
    </w:p>
    <w:p>
      <w:pPr>
        <w:pStyle w:val="NurText"/>
        <w:widowControl w:val="0"/>
        <w:spacing w:after="120"/>
        <w:jc w:val="both"/>
        <w:rPr>
          <w:rFonts w:ascii="Arial" w:hAnsi="Arial" w:cs="Arial"/>
          <w:sz w:val="24"/>
          <w:szCs w:val="24"/>
        </w:rPr>
      </w:pPr>
    </w:p>
    <w:p>
      <w:pPr>
        <w:pStyle w:val="NurText"/>
        <w:widowControl w:val="0"/>
        <w:spacing w:after="120"/>
        <w:jc w:val="both"/>
        <w:rPr>
          <w:rFonts w:ascii="Arial" w:hAnsi="Arial" w:cs="Arial"/>
          <w:sz w:val="24"/>
          <w:szCs w:val="24"/>
        </w:rPr>
      </w:pPr>
      <w:r>
        <w:rPr>
          <w:rFonts w:ascii="Arial" w:hAnsi="Arial" w:cs="Arial"/>
          <w:sz w:val="24"/>
          <w:szCs w:val="24"/>
        </w:rPr>
        <w:t>In den Fällen der Nr. 4 entscheidet die Genehmigungsbehörde gemäß § 12 Abs. 1 Satz 3 der 9. BImSchV nach Ablauf der Einwendungsfrist, unter Berücksichtigung von § 14 der 9. BImSchV, ob im Genehmigungsverfahren ein Erörterungstermin nach § 10 Abs. 6 BImSchG durchgeführt wird. Diese Entscheidung wird gemäß § 12 Abs. 1 Satz 3 der 9. BImSchV öffentlich bekannt gemacht.</w:t>
      </w:r>
    </w:p>
    <w:p>
      <w:pPr>
        <w:pStyle w:val="NurText"/>
        <w:spacing w:after="120"/>
        <w:rPr>
          <w:rFonts w:ascii="Arial" w:hAnsi="Arial" w:cs="Arial"/>
          <w:sz w:val="24"/>
          <w:szCs w:val="24"/>
        </w:rPr>
      </w:pPr>
      <w:r>
        <w:rPr>
          <w:rFonts w:ascii="Arial" w:hAnsi="Arial" w:cs="Arial"/>
          <w:sz w:val="24"/>
          <w:szCs w:val="24"/>
        </w:rPr>
        <w:t xml:space="preserve">Eine Auskunft über das Stattfinden oder den Entfall des Erörterungstermins kann unter Angabe des Aktenzeichens telefonisch bei Herrn Rucman (Tel.: 0221/147-2780) oder Herrn Heinzkill (Tel.: 0221/147-2541), schriftlich bei der Bezirksregierung Köln, Dezernat 53, 50606 Köln, oder elektro-nisch über die E-Mail-Adresse: poststelle@bezreg-koeln.nrw.de unter Angabe des Aktenzeichens </w:t>
      </w:r>
      <w:r>
        <w:rPr>
          <w:rFonts w:ascii="Arial" w:hAnsi="Arial" w:cs="Arial"/>
          <w:b/>
          <w:sz w:val="24"/>
          <w:szCs w:val="24"/>
        </w:rPr>
        <w:t>300-53.0036/22-Ru</w:t>
      </w:r>
      <w:r>
        <w:rPr>
          <w:rFonts w:ascii="Arial" w:hAnsi="Arial" w:cs="Arial"/>
          <w:sz w:val="24"/>
          <w:szCs w:val="24"/>
        </w:rPr>
        <w:t xml:space="preserve"> eingeholt werden. Darüber hinaus wird der Entfall des Erörterungstermins auf den Internetseiten der Bezirksregierung Köln veröffentlicht (</w:t>
      </w:r>
      <w:hyperlink r:id="rId8" w:history="1">
        <w:r>
          <w:rPr>
            <w:rStyle w:val="Hyperlink"/>
            <w:rFonts w:ascii="Arial" w:hAnsi="Arial" w:cs="Arial"/>
            <w:color w:val="auto"/>
            <w:sz w:val="24"/>
            <w:szCs w:val="24"/>
          </w:rPr>
          <w:t>www.bezreg-koeln.nrw.de</w:t>
        </w:r>
      </w:hyperlink>
      <w:r>
        <w:rPr>
          <w:rFonts w:ascii="Arial" w:hAnsi="Arial" w:cs="Arial"/>
          <w:sz w:val="24"/>
          <w:szCs w:val="24"/>
        </w:rPr>
        <w:t>).</w:t>
      </w:r>
    </w:p>
    <w:p>
      <w:pPr>
        <w:pStyle w:val="NurText"/>
        <w:spacing w:after="120"/>
        <w:rPr>
          <w:rFonts w:ascii="Arial" w:hAnsi="Arial" w:cs="Arial"/>
          <w:sz w:val="24"/>
          <w:szCs w:val="24"/>
        </w:rPr>
      </w:pPr>
      <w:r>
        <w:rPr>
          <w:rFonts w:ascii="Arial" w:hAnsi="Arial" w:cs="Arial"/>
          <w:sz w:val="24"/>
          <w:szCs w:val="24"/>
        </w:rPr>
        <w:t>Der Erörterungstermin ist öffentlich (§ 18 der 9. BImSchV). Aktiver Vortrag ist denjenigen Teilnehmern und Teilnehmerinnen vorbehalten, die Einwendungen gegen das Vorhaben geltend gemacht haben (§ 14 der 9. BImSchV). Bei den anderen Teilnehmern und Teilnehmerinnen beschränkt sich die Teilnahme an der mündlichen Erörterung auf das Zuhören.</w:t>
      </w:r>
    </w:p>
    <w:p>
      <w:pPr>
        <w:pStyle w:val="NurText"/>
        <w:widowControl w:val="0"/>
        <w:spacing w:after="120"/>
        <w:jc w:val="both"/>
        <w:rPr>
          <w:rFonts w:ascii="Arial" w:hAnsi="Arial" w:cs="Arial"/>
          <w:sz w:val="24"/>
          <w:szCs w:val="24"/>
        </w:rPr>
      </w:pPr>
      <w:r>
        <w:rPr>
          <w:rFonts w:ascii="Arial" w:hAnsi="Arial" w:cs="Arial"/>
          <w:sz w:val="24"/>
          <w:szCs w:val="24"/>
        </w:rPr>
        <w:t xml:space="preserve">Diejenigen, die Einwendungen erheben, können sich von Bevollmächtigten im Termin vertreten lassen. Diese haben ihre Bevollmächtigung durch eine schriftliche Vollmacht nachzuweisen und diese zu den Akten der Genehmigungsbehörde zu geben. </w:t>
      </w:r>
    </w:p>
    <w:p>
      <w:pPr>
        <w:pStyle w:val="NurText"/>
        <w:widowControl w:val="0"/>
        <w:spacing w:after="120"/>
        <w:jc w:val="both"/>
        <w:rPr>
          <w:rFonts w:ascii="Arial" w:hAnsi="Arial" w:cs="Arial"/>
          <w:sz w:val="24"/>
          <w:szCs w:val="24"/>
        </w:rPr>
      </w:pPr>
      <w:r>
        <w:rPr>
          <w:rFonts w:ascii="Arial" w:hAnsi="Arial" w:cs="Arial"/>
          <w:sz w:val="24"/>
          <w:szCs w:val="24"/>
        </w:rPr>
        <w:t>Es wird darauf hingewiesen, dass die formgerecht erhobenen Einwendungen auch bei Ausbleiben des Antragstellers oder von Personen, die Einwendungen erhoben haben, erörtert werden.</w:t>
      </w:r>
    </w:p>
    <w:p>
      <w:pPr>
        <w:pStyle w:val="NurText"/>
        <w:widowControl w:val="0"/>
        <w:spacing w:after="120"/>
        <w:jc w:val="both"/>
        <w:rPr>
          <w:rFonts w:ascii="Arial" w:hAnsi="Arial" w:cs="Arial"/>
          <w:sz w:val="24"/>
          <w:szCs w:val="24"/>
        </w:rPr>
      </w:pPr>
      <w:r>
        <w:rPr>
          <w:rFonts w:ascii="Arial" w:hAnsi="Arial" w:cs="Arial"/>
          <w:sz w:val="24"/>
          <w:szCs w:val="24"/>
        </w:rPr>
        <w:t>Durch Einsichtnahme in die Antragsunterlagen und Teilnahme am Erörterungstermin entstehende Kosten können nicht erstattet werden.</w:t>
      </w:r>
    </w:p>
    <w:p>
      <w:pPr>
        <w:pStyle w:val="NurText"/>
        <w:widowControl w:val="0"/>
        <w:spacing w:after="120"/>
        <w:jc w:val="both"/>
        <w:rPr>
          <w:rFonts w:ascii="Arial" w:hAnsi="Arial" w:cs="Arial"/>
          <w:sz w:val="24"/>
          <w:szCs w:val="24"/>
        </w:rPr>
      </w:pPr>
      <w:r>
        <w:rPr>
          <w:rFonts w:ascii="Arial" w:hAnsi="Arial" w:cs="Arial"/>
          <w:sz w:val="24"/>
          <w:szCs w:val="24"/>
        </w:rPr>
        <w:t xml:space="preserve">Die Zustellung der Entscheidung über die Einwendungen kann gemäß § 10 Abs. 4 Nr. 4 BImSchG </w:t>
      </w:r>
      <w:r>
        <w:rPr>
          <w:rFonts w:ascii="Arial" w:hAnsi="Arial" w:cs="Arial"/>
          <w:sz w:val="24"/>
          <w:szCs w:val="24"/>
        </w:rPr>
        <w:lastRenderedPageBreak/>
        <w:t>durch öffentliche Bekanntmachung ersetzt werden.</w:t>
      </w:r>
    </w:p>
    <w:p>
      <w:pPr>
        <w:tabs>
          <w:tab w:val="left" w:pos="0"/>
        </w:tabs>
        <w:spacing w:after="120"/>
        <w:jc w:val="both"/>
        <w:rPr>
          <w:rFonts w:ascii="Arial" w:hAnsi="Arial" w:cs="Arial"/>
          <w:sz w:val="24"/>
          <w:lang w:val="de-DE"/>
        </w:rPr>
      </w:pPr>
    </w:p>
    <w:p>
      <w:pPr>
        <w:tabs>
          <w:tab w:val="left" w:pos="0"/>
        </w:tabs>
        <w:spacing w:after="120"/>
        <w:jc w:val="both"/>
        <w:rPr>
          <w:rFonts w:ascii="Arial" w:hAnsi="Arial" w:cs="Arial"/>
          <w:sz w:val="24"/>
          <w:lang w:val="de-DE"/>
        </w:rPr>
      </w:pPr>
      <w:r>
        <w:rPr>
          <w:rFonts w:ascii="Arial" w:hAnsi="Arial" w:cs="Arial"/>
          <w:sz w:val="24"/>
          <w:lang w:val="de-DE"/>
        </w:rPr>
        <w:t>Köln, den 05.12.2022</w:t>
      </w:r>
    </w:p>
    <w:p>
      <w:pPr>
        <w:tabs>
          <w:tab w:val="left" w:pos="0"/>
        </w:tabs>
        <w:spacing w:after="120"/>
        <w:jc w:val="center"/>
        <w:rPr>
          <w:rFonts w:ascii="Arial" w:hAnsi="Arial" w:cs="Arial"/>
          <w:sz w:val="24"/>
          <w:lang w:val="de-DE"/>
        </w:rPr>
      </w:pPr>
      <w:r>
        <w:rPr>
          <w:rFonts w:ascii="Arial" w:hAnsi="Arial" w:cs="Arial"/>
          <w:sz w:val="24"/>
          <w:lang w:val="de-DE"/>
        </w:rPr>
        <w:t>Im Auftrag</w:t>
      </w:r>
    </w:p>
    <w:p>
      <w:pPr>
        <w:pStyle w:val="NurText"/>
        <w:widowControl w:val="0"/>
        <w:spacing w:after="120"/>
        <w:jc w:val="center"/>
        <w:rPr>
          <w:rFonts w:ascii="Arial" w:hAnsi="Arial" w:cs="Arial"/>
          <w:sz w:val="24"/>
          <w:szCs w:val="24"/>
        </w:rPr>
      </w:pPr>
      <w:r>
        <w:rPr>
          <w:rFonts w:ascii="Arial" w:hAnsi="Arial" w:cs="Arial"/>
          <w:sz w:val="24"/>
          <w:szCs w:val="24"/>
        </w:rPr>
        <w:t>gez. Rucman</w:t>
      </w:r>
    </w:p>
    <w:p>
      <w:pPr>
        <w:pStyle w:val="NurText"/>
        <w:spacing w:after="120"/>
        <w:rPr>
          <w:rFonts w:ascii="Arial" w:hAnsi="Arial" w:cs="Arial"/>
          <w:sz w:val="24"/>
          <w:szCs w:val="24"/>
        </w:rPr>
      </w:pPr>
    </w:p>
    <w:sectPr>
      <w:endnotePr>
        <w:numFmt w:val="decimal"/>
      </w:endnotePr>
      <w:pgSz w:w="11906" w:h="16838" w:code="9"/>
      <w:pgMar w:top="567" w:right="567" w:bottom="567" w:left="567" w:header="1440" w:footer="1440"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_InfraType57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F81"/>
    <w:multiLevelType w:val="hybridMultilevel"/>
    <w:tmpl w:val="6492CF36"/>
    <w:lvl w:ilvl="0" w:tplc="AE687E36">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DC72CE9"/>
    <w:multiLevelType w:val="hybridMultilevel"/>
    <w:tmpl w:val="325432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0846"/>
    <w:multiLevelType w:val="hybridMultilevel"/>
    <w:tmpl w:val="31F4E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B9365D"/>
    <w:multiLevelType w:val="hybridMultilevel"/>
    <w:tmpl w:val="A9F4A304"/>
    <w:lvl w:ilvl="0" w:tplc="2D36FA8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BD203E"/>
    <w:multiLevelType w:val="hybridMultilevel"/>
    <w:tmpl w:val="43DE1256"/>
    <w:lvl w:ilvl="0" w:tplc="17BCCBDC">
      <w:start w:val="15"/>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6DC97F94"/>
    <w:multiLevelType w:val="hybridMultilevel"/>
    <w:tmpl w:val="3228A8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activeWritingStyle w:appName="MSWord" w:lang="de-DE" w:vendorID="64" w:dllVersion="6"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974364-BAB2-4FC4-90D7-CE45C2D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Cs w:val="24"/>
      <w:lang w:val="en-US"/>
    </w:rPr>
  </w:style>
  <w:style w:type="paragraph" w:styleId="berschrift4">
    <w:name w:val="heading 4"/>
    <w:basedOn w:val="Standard"/>
    <w:next w:val="Standard"/>
    <w:link w:val="berschrift4Zchn"/>
    <w:qFormat/>
    <w:pPr>
      <w:keepNext/>
      <w:widowControl/>
      <w:tabs>
        <w:tab w:val="left" w:pos="0"/>
        <w:tab w:val="left" w:pos="1276"/>
      </w:tabs>
      <w:autoSpaceDE/>
      <w:autoSpaceDN/>
      <w:adjustRightInd/>
      <w:jc w:val="both"/>
      <w:outlineLvl w:val="3"/>
    </w:pPr>
    <w:rPr>
      <w:rFonts w:ascii="Arial" w:hAnsi="Arial" w:cs="Arial"/>
      <w:b/>
      <w:bCs/>
      <w:color w:val="80008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Formatvorlage1">
    <w:name w:val="Formatvorlage1"/>
    <w:basedOn w:val="Standard"/>
    <w:pPr>
      <w:widowControl/>
      <w:autoSpaceDE/>
      <w:autoSpaceDN/>
      <w:adjustRightInd/>
    </w:pPr>
    <w:rPr>
      <w:kern w:val="16"/>
      <w:sz w:val="24"/>
      <w:szCs w:val="20"/>
      <w:lang w:val="de-DE"/>
    </w:rPr>
  </w:style>
  <w:style w:type="paragraph" w:styleId="NurText">
    <w:name w:val="Plain Text"/>
    <w:basedOn w:val="Standard"/>
    <w:link w:val="NurTextZchn"/>
    <w:uiPriority w:val="99"/>
    <w:pPr>
      <w:widowControl/>
      <w:autoSpaceDE/>
      <w:autoSpaceDN/>
      <w:adjustRightInd/>
    </w:pPr>
    <w:rPr>
      <w:rFonts w:ascii="Courier New" w:hAnsi="Courier New" w:cs="Courier New"/>
      <w:szCs w:val="20"/>
      <w:lang w:val="de-DE"/>
    </w:rPr>
  </w:style>
  <w:style w:type="paragraph" w:styleId="StandardWeb">
    <w:name w:val="Normal (Web)"/>
    <w:basedOn w:val="Standard"/>
    <w:uiPriority w:val="99"/>
    <w:pPr>
      <w:widowControl/>
      <w:autoSpaceDE/>
      <w:autoSpaceDN/>
      <w:adjustRightInd/>
      <w:spacing w:before="100" w:beforeAutospacing="1" w:after="100" w:afterAutospacing="1"/>
    </w:pPr>
    <w:rPr>
      <w:sz w:val="24"/>
      <w:lang w:val="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Cs w:val="20"/>
    </w:rPr>
  </w:style>
  <w:style w:type="character" w:styleId="Kommentarzeichen">
    <w:name w:val="annotation reference"/>
    <w:rPr>
      <w:sz w:val="16"/>
      <w:szCs w:val="16"/>
    </w:rPr>
  </w:style>
  <w:style w:type="paragraph" w:styleId="Kommentartext">
    <w:name w:val="annotation text"/>
    <w:basedOn w:val="Standard"/>
    <w:link w:val="KommentartextZchn"/>
    <w:rPr>
      <w:szCs w:val="20"/>
    </w:rPr>
  </w:style>
  <w:style w:type="character" w:customStyle="1" w:styleId="KommentartextZchn">
    <w:name w:val="Kommentartext Zchn"/>
    <w:link w:val="Kommentartext"/>
    <w:rPr>
      <w:lang w:val="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rPr>
  </w:style>
  <w:style w:type="character" w:styleId="Hyperlink">
    <w:name w:val="Hyperlink"/>
    <w:rPr>
      <w:color w:val="0000FF"/>
      <w:u w:val="single"/>
    </w:rPr>
  </w:style>
  <w:style w:type="character" w:styleId="BesuchterLink">
    <w:name w:val="FollowedHyperlink"/>
    <w:rPr>
      <w:color w:val="800080"/>
      <w:u w:val="single"/>
    </w:rPr>
  </w:style>
  <w:style w:type="paragraph" w:styleId="Listenabsatz">
    <w:name w:val="List Paragraph"/>
    <w:basedOn w:val="Standard"/>
    <w:uiPriority w:val="34"/>
    <w:qFormat/>
    <w:pPr>
      <w:ind w:left="720"/>
      <w:contextualSpacing/>
    </w:pPr>
  </w:style>
  <w:style w:type="character" w:customStyle="1" w:styleId="NurTextZchn">
    <w:name w:val="Nur Text Zchn"/>
    <w:link w:val="NurText"/>
    <w:uiPriority w:val="99"/>
    <w:rPr>
      <w:rFonts w:ascii="Courier New" w:hAnsi="Courier New" w:cs="Courier New"/>
    </w:rPr>
  </w:style>
  <w:style w:type="paragraph" w:styleId="Textkrper">
    <w:name w:val="Body Text"/>
    <w:basedOn w:val="Standard"/>
    <w:link w:val="TextkrperZchn"/>
    <w:uiPriority w:val="99"/>
    <w:pPr>
      <w:widowControl/>
      <w:autoSpaceDE/>
      <w:autoSpaceDN/>
      <w:adjustRightInd/>
      <w:ind w:right="339"/>
      <w:jc w:val="both"/>
    </w:pPr>
    <w:rPr>
      <w:rFonts w:ascii="_InfraType57 Condensed" w:hAnsi="_InfraType57 Condensed"/>
      <w:sz w:val="24"/>
      <w:szCs w:val="20"/>
      <w:lang w:val="de-DE"/>
    </w:rPr>
  </w:style>
  <w:style w:type="character" w:customStyle="1" w:styleId="TextkrperZchn">
    <w:name w:val="Textkörper Zchn"/>
    <w:basedOn w:val="Absatz-Standardschriftart"/>
    <w:link w:val="Textkrper"/>
    <w:uiPriority w:val="99"/>
    <w:rPr>
      <w:rFonts w:ascii="_InfraType57 Condensed" w:hAnsi="_InfraType57 Condensed"/>
      <w:sz w:val="24"/>
    </w:rPr>
  </w:style>
  <w:style w:type="character" w:customStyle="1" w:styleId="berschrift4Zchn">
    <w:name w:val="Überschrift 4 Zchn"/>
    <w:basedOn w:val="Absatz-Standardschriftart"/>
    <w:link w:val="berschrift4"/>
    <w:rPr>
      <w:rFonts w:ascii="Arial" w:hAnsi="Arial" w:cs="Arial"/>
      <w:b/>
      <w:bCs/>
      <w:color w:val="800080"/>
      <w:sz w:val="24"/>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935">
      <w:bodyDiv w:val="1"/>
      <w:marLeft w:val="0"/>
      <w:marRight w:val="0"/>
      <w:marTop w:val="0"/>
      <w:marBottom w:val="0"/>
      <w:divBdr>
        <w:top w:val="none" w:sz="0" w:space="0" w:color="auto"/>
        <w:left w:val="none" w:sz="0" w:space="0" w:color="auto"/>
        <w:bottom w:val="none" w:sz="0" w:space="0" w:color="auto"/>
        <w:right w:val="none" w:sz="0" w:space="0" w:color="auto"/>
      </w:divBdr>
    </w:div>
    <w:div w:id="202793561">
      <w:bodyDiv w:val="1"/>
      <w:marLeft w:val="0"/>
      <w:marRight w:val="0"/>
      <w:marTop w:val="0"/>
      <w:marBottom w:val="0"/>
      <w:divBdr>
        <w:top w:val="none" w:sz="0" w:space="0" w:color="auto"/>
        <w:left w:val="none" w:sz="0" w:space="0" w:color="auto"/>
        <w:bottom w:val="none" w:sz="0" w:space="0" w:color="auto"/>
        <w:right w:val="none" w:sz="0" w:space="0" w:color="auto"/>
      </w:divBdr>
    </w:div>
    <w:div w:id="480388507">
      <w:bodyDiv w:val="1"/>
      <w:marLeft w:val="0"/>
      <w:marRight w:val="0"/>
      <w:marTop w:val="0"/>
      <w:marBottom w:val="0"/>
      <w:divBdr>
        <w:top w:val="none" w:sz="0" w:space="0" w:color="auto"/>
        <w:left w:val="none" w:sz="0" w:space="0" w:color="auto"/>
        <w:bottom w:val="none" w:sz="0" w:space="0" w:color="auto"/>
        <w:right w:val="none" w:sz="0" w:space="0" w:color="auto"/>
      </w:divBdr>
    </w:div>
    <w:div w:id="490098777">
      <w:bodyDiv w:val="1"/>
      <w:marLeft w:val="0"/>
      <w:marRight w:val="0"/>
      <w:marTop w:val="0"/>
      <w:marBottom w:val="0"/>
      <w:divBdr>
        <w:top w:val="none" w:sz="0" w:space="0" w:color="auto"/>
        <w:left w:val="none" w:sz="0" w:space="0" w:color="auto"/>
        <w:bottom w:val="none" w:sz="0" w:space="0" w:color="auto"/>
        <w:right w:val="none" w:sz="0" w:space="0" w:color="auto"/>
      </w:divBdr>
    </w:div>
    <w:div w:id="823198526">
      <w:bodyDiv w:val="1"/>
      <w:marLeft w:val="0"/>
      <w:marRight w:val="0"/>
      <w:marTop w:val="0"/>
      <w:marBottom w:val="0"/>
      <w:divBdr>
        <w:top w:val="none" w:sz="0" w:space="0" w:color="auto"/>
        <w:left w:val="none" w:sz="0" w:space="0" w:color="auto"/>
        <w:bottom w:val="none" w:sz="0" w:space="0" w:color="auto"/>
        <w:right w:val="none" w:sz="0" w:space="0" w:color="auto"/>
      </w:divBdr>
      <w:divsChild>
        <w:div w:id="322051055">
          <w:marLeft w:val="0"/>
          <w:marRight w:val="0"/>
          <w:marTop w:val="0"/>
          <w:marBottom w:val="0"/>
          <w:divBdr>
            <w:top w:val="none" w:sz="0" w:space="0" w:color="auto"/>
            <w:left w:val="none" w:sz="0" w:space="0" w:color="auto"/>
            <w:bottom w:val="none" w:sz="0" w:space="0" w:color="auto"/>
            <w:right w:val="none" w:sz="0" w:space="0" w:color="auto"/>
          </w:divBdr>
        </w:div>
      </w:divsChild>
    </w:div>
    <w:div w:id="845635588">
      <w:bodyDiv w:val="1"/>
      <w:marLeft w:val="0"/>
      <w:marRight w:val="0"/>
      <w:marTop w:val="0"/>
      <w:marBottom w:val="0"/>
      <w:divBdr>
        <w:top w:val="none" w:sz="0" w:space="0" w:color="auto"/>
        <w:left w:val="none" w:sz="0" w:space="0" w:color="auto"/>
        <w:bottom w:val="none" w:sz="0" w:space="0" w:color="auto"/>
        <w:right w:val="none" w:sz="0" w:space="0" w:color="auto"/>
      </w:divBdr>
    </w:div>
    <w:div w:id="882865422">
      <w:bodyDiv w:val="1"/>
      <w:marLeft w:val="0"/>
      <w:marRight w:val="0"/>
      <w:marTop w:val="0"/>
      <w:marBottom w:val="0"/>
      <w:divBdr>
        <w:top w:val="none" w:sz="0" w:space="0" w:color="auto"/>
        <w:left w:val="none" w:sz="0" w:space="0" w:color="auto"/>
        <w:bottom w:val="none" w:sz="0" w:space="0" w:color="auto"/>
        <w:right w:val="none" w:sz="0" w:space="0" w:color="auto"/>
      </w:divBdr>
    </w:div>
    <w:div w:id="1046444154">
      <w:bodyDiv w:val="1"/>
      <w:marLeft w:val="0"/>
      <w:marRight w:val="0"/>
      <w:marTop w:val="0"/>
      <w:marBottom w:val="0"/>
      <w:divBdr>
        <w:top w:val="none" w:sz="0" w:space="0" w:color="auto"/>
        <w:left w:val="none" w:sz="0" w:space="0" w:color="auto"/>
        <w:bottom w:val="none" w:sz="0" w:space="0" w:color="auto"/>
        <w:right w:val="none" w:sz="0" w:space="0" w:color="auto"/>
      </w:divBdr>
    </w:div>
    <w:div w:id="1054541830">
      <w:bodyDiv w:val="1"/>
      <w:marLeft w:val="0"/>
      <w:marRight w:val="0"/>
      <w:marTop w:val="0"/>
      <w:marBottom w:val="0"/>
      <w:divBdr>
        <w:top w:val="none" w:sz="0" w:space="0" w:color="auto"/>
        <w:left w:val="none" w:sz="0" w:space="0" w:color="auto"/>
        <w:bottom w:val="none" w:sz="0" w:space="0" w:color="auto"/>
        <w:right w:val="none" w:sz="0" w:space="0" w:color="auto"/>
      </w:divBdr>
    </w:div>
    <w:div w:id="1629126489">
      <w:bodyDiv w:val="1"/>
      <w:marLeft w:val="0"/>
      <w:marRight w:val="0"/>
      <w:marTop w:val="0"/>
      <w:marBottom w:val="0"/>
      <w:divBdr>
        <w:top w:val="none" w:sz="0" w:space="0" w:color="auto"/>
        <w:left w:val="none" w:sz="0" w:space="0" w:color="auto"/>
        <w:bottom w:val="none" w:sz="0" w:space="0" w:color="auto"/>
        <w:right w:val="none" w:sz="0" w:space="0" w:color="auto"/>
      </w:divBdr>
    </w:div>
    <w:div w:id="21444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zreg-koeln.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4F53-637D-4593-97B2-F035CE32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Bezirksregierung Köln</Company>
  <LinksUpToDate>false</LinksUpToDate>
  <CharactersWithSpaces>3051</CharactersWithSpaces>
  <SharedDoc>false</SharedDoc>
  <HLinks>
    <vt:vector size="12" baseType="variant">
      <vt:variant>
        <vt:i4>3407957</vt:i4>
      </vt:variant>
      <vt:variant>
        <vt:i4>3</vt:i4>
      </vt:variant>
      <vt:variant>
        <vt:i4>0</vt:i4>
      </vt:variant>
      <vt:variant>
        <vt:i4>5</vt:i4>
      </vt:variant>
      <vt:variant>
        <vt:lpwstr>mailto:karin.luecking@bezreg-koeln.nrw.de</vt:lpwstr>
      </vt:variant>
      <vt:variant>
        <vt:lpwstr/>
      </vt:variant>
      <vt:variant>
        <vt:i4>5046318</vt:i4>
      </vt:variant>
      <vt:variant>
        <vt:i4>0</vt:i4>
      </vt:variant>
      <vt:variant>
        <vt:i4>0</vt:i4>
      </vt:variant>
      <vt:variant>
        <vt:i4>5</vt:i4>
      </vt:variant>
      <vt:variant>
        <vt:lpwstr>mailto:sabrina.schaefer@bezreg-koeln.nrw.de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Schwirz, Benjamin</dc:creator>
  <cp:lastModifiedBy>Rygol, Stefan</cp:lastModifiedBy>
  <cp:revision>3</cp:revision>
  <cp:lastPrinted>2018-06-15T10:28:00Z</cp:lastPrinted>
  <dcterms:created xsi:type="dcterms:W3CDTF">2022-12-01T09:48:00Z</dcterms:created>
  <dcterms:modified xsi:type="dcterms:W3CDTF">2022-12-01T09:48:00Z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