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hier: Röhm GmbH</w:t>
      </w:r>
    </w:p>
    <w:p>
      <w:pPr>
        <w:autoSpaceDE w:val="0"/>
        <w:autoSpaceDN w:val="0"/>
        <w:adjustRightInd w:val="0"/>
        <w:spacing w:after="0" w:line="240" w:lineRule="auto"/>
        <w:jc w:val="center"/>
        <w:rPr>
          <w:rFonts w:eastAsia="Times New Roman" w:cs="Arial"/>
          <w:szCs w:val="24"/>
          <w:lang w:eastAsia="de-DE"/>
        </w:rPr>
      </w:pP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Bezirksregierung Köln</w:t>
      </w: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 xml:space="preserve">Az.: </w:t>
      </w:r>
      <w:r>
        <w:rPr>
          <w:rFonts w:eastAsia="Times New Roman" w:cs="Arial"/>
          <w:b/>
          <w:noProof/>
          <w:szCs w:val="24"/>
          <w:lang w:eastAsia="de-DE"/>
        </w:rPr>
        <w:t>53-2023-0011095</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noProof/>
          <w:szCs w:val="24"/>
          <w:lang w:eastAsia="de-DE"/>
        </w:rPr>
      </w:pPr>
      <w:r>
        <w:rPr>
          <w:rFonts w:eastAsia="Times New Roman" w:cs="Arial"/>
          <w:szCs w:val="24"/>
          <w:lang w:eastAsia="de-DE"/>
        </w:rPr>
        <w:t xml:space="preserve">Die Firma </w:t>
      </w:r>
      <w:r>
        <w:rPr>
          <w:rFonts w:eastAsia="Times New Roman" w:cs="Arial"/>
          <w:noProof/>
          <w:szCs w:val="24"/>
          <w:lang w:eastAsia="de-DE"/>
        </w:rPr>
        <w:t>Röhm GmbH</w:t>
      </w:r>
      <w:r>
        <w:rPr>
          <w:rFonts w:eastAsia="Times New Roman" w:cs="Arial"/>
          <w:szCs w:val="24"/>
          <w:lang w:eastAsia="de-DE"/>
        </w:rPr>
        <w:t xml:space="preserve"> hat gem. § </w:t>
      </w:r>
      <w:r>
        <w:rPr>
          <w:rFonts w:eastAsia="Times New Roman" w:cs="Arial"/>
          <w:noProof/>
          <w:szCs w:val="24"/>
          <w:lang w:eastAsia="de-DE"/>
        </w:rPr>
        <w:t>16</w:t>
      </w:r>
      <w:r>
        <w:rPr>
          <w:rFonts w:eastAsia="Times New Roman" w:cs="Arial"/>
          <w:szCs w:val="24"/>
          <w:lang w:eastAsia="de-DE"/>
        </w:rPr>
        <w:t xml:space="preserve"> Bundes-Immissionsschutzgesetz (BImSchG) die Genehmigung zur wesentlichen Änderung der </w:t>
      </w:r>
      <w:r>
        <w:rPr>
          <w:rFonts w:eastAsia="Times New Roman" w:cs="Arial"/>
          <w:noProof/>
          <w:szCs w:val="24"/>
          <w:lang w:eastAsia="de-DE"/>
        </w:rPr>
        <w:t>PMMA-Anlage</w:t>
      </w:r>
      <w:r>
        <w:rPr>
          <w:rFonts w:eastAsia="Times New Roman" w:cs="Arial"/>
          <w:szCs w:val="24"/>
          <w:lang w:eastAsia="de-DE"/>
        </w:rPr>
        <w:t xml:space="preserve">, Gemarkung </w:t>
      </w:r>
      <w:r>
        <w:rPr>
          <w:rFonts w:eastAsia="Times New Roman" w:cs="Arial"/>
          <w:noProof/>
          <w:szCs w:val="24"/>
          <w:lang w:eastAsia="de-DE"/>
        </w:rPr>
        <w:t>Wesseling,</w:t>
      </w:r>
      <w:r>
        <w:rPr>
          <w:rFonts w:eastAsia="Times New Roman" w:cs="Arial"/>
          <w:szCs w:val="24"/>
          <w:lang w:eastAsia="de-DE"/>
        </w:rPr>
        <w:t xml:space="preserve"> Flur 3, Flurstück 269, 281 und 282 beantragt. Der Genehmigungsantrag beinhaltet </w:t>
      </w:r>
      <w:r>
        <w:rPr>
          <w:rFonts w:eastAsia="Times New Roman" w:cs="Arial"/>
          <w:noProof/>
          <w:szCs w:val="24"/>
          <w:lang w:eastAsia="de-DE"/>
        </w:rPr>
        <w:t>die Errichtung und den Betrieb einer regenerativ-thermischen Nachverbrennungseinrichtung, Änderungen im Bereich des Brandschutzes und die Errichtung eines Büroraums.</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Bei dem vorliegenden Antrag handelt es sich um ein Änderungsvorhaben nach Nr. 4.2 der Anlage 1 des UVPG. Es wurde eine allgemeine Vorprüfung nach § 9 i.V.m.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Aus dem Änderungsvorhaben resultieren keine relevanten Luftverunreinigungen, da die Errichtung der neuen regenerativ-thermischen Oxidation als Ersatz für die bisherige Abluftbehandlung eine Verbesserung hinsichtlich der Verfügbarkeit und der Effizienz darstellt. Auf die Schallimmissionssituation in der Umgebung wirkt sich das Vorhaben insgesamt neutral aus, da mit dem Antragsgegenstand keine relevanten Lärmquellen hinzukommen. Auswirkungen auf den Natur- und Artenschutz sowie relevante Bodenbelastungen finden nicht statt, da das Vorhaben in bestehenden Strukturen umgesetzt wird (keine Flächenversiegelung). Eine Gefährdung des Wassers ist ebenfalls nicht zu besorgen, da wassergefährdende Stoffe der Verordnung über Anlagen zum Umgang mit wassergefährdenden Stoffen (AwSV) entsprechend gehandhabt werden. Zusätzliche Abfälle oder Abwasserströme fallen nicht an. Damit ist die Durchführung einer Umweltverträglichkeitsprüfung in diesem Verfahren entbehrlich.</w:t>
      </w:r>
    </w:p>
    <w:p>
      <w:pPr>
        <w:autoSpaceDE w:val="0"/>
        <w:autoSpaceDN w:val="0"/>
        <w:adjustRightInd w:val="0"/>
        <w:spacing w:after="0"/>
        <w:rPr>
          <w:rFonts w:eastAsia="Times New Roman" w:cs="Arial"/>
          <w:szCs w:val="24"/>
          <w:lang w:eastAsia="de-DE"/>
        </w:rPr>
      </w:pPr>
    </w:p>
    <w:p>
      <w:pPr>
        <w:autoSpaceDE w:val="0"/>
        <w:autoSpaceDN w:val="0"/>
        <w:adjustRightInd w:val="0"/>
        <w:spacing w:after="0"/>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rPr>
          <w:rFonts w:eastAsia="Times New Roman" w:cs="Arial"/>
          <w:szCs w:val="24"/>
          <w:lang w:eastAsia="de-DE"/>
        </w:rPr>
      </w:pPr>
    </w:p>
    <w:p>
      <w:pPr>
        <w:autoSpaceDE w:val="0"/>
        <w:autoSpaceDN w:val="0"/>
        <w:adjustRightInd w:val="0"/>
        <w:spacing w:after="0"/>
        <w:rPr>
          <w:rFonts w:eastAsia="Times New Roman" w:cs="Arial"/>
          <w:szCs w:val="24"/>
          <w:lang w:eastAsia="de-DE"/>
        </w:rPr>
      </w:pPr>
      <w:r>
        <w:rPr>
          <w:rFonts w:eastAsia="Times New Roman" w:cs="Arial"/>
          <w:szCs w:val="24"/>
          <w:lang w:eastAsia="de-DE"/>
        </w:rPr>
        <w:t>Köln, den 19.12.2024</w:t>
      </w:r>
    </w:p>
    <w:p>
      <w:pPr>
        <w:autoSpaceDE w:val="0"/>
        <w:autoSpaceDN w:val="0"/>
        <w:adjustRightInd w:val="0"/>
        <w:spacing w:after="0"/>
        <w:rPr>
          <w:rFonts w:eastAsia="Times New Roman" w:cs="Arial"/>
          <w:szCs w:val="24"/>
          <w:lang w:eastAsia="de-DE"/>
        </w:rPr>
      </w:pPr>
      <w:r>
        <w:rPr>
          <w:rFonts w:eastAsia="Times New Roman" w:cs="Arial"/>
          <w:szCs w:val="24"/>
          <w:lang w:eastAsia="de-DE"/>
        </w:rPr>
        <w:t>Im Auftrag</w:t>
      </w:r>
    </w:p>
    <w:p>
      <w:pPr>
        <w:pStyle w:val="NurText"/>
        <w:widowControl w:val="0"/>
        <w:spacing w:before="100" w:line="360" w:lineRule="auto"/>
        <w:jc w:val="both"/>
        <w:rPr>
          <w:rFonts w:ascii="Arial" w:hAnsi="Arial" w:cs="Arial"/>
          <w:sz w:val="24"/>
          <w:szCs w:val="24"/>
        </w:rPr>
      </w:pPr>
      <w:r>
        <w:rPr>
          <w:rFonts w:ascii="Arial" w:hAnsi="Arial" w:cs="Arial"/>
          <w:sz w:val="24"/>
          <w:szCs w:val="24"/>
        </w:rPr>
        <w:t>gez. Kröger</w:t>
      </w:r>
      <w:bookmarkStart w:id="0" w:name="_GoBack"/>
      <w:bookmarkEnd w:id="0"/>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DCE4C-16E5-43A6-B348-F0443A61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Kröger, Alke</cp:lastModifiedBy>
  <cp:revision>2</cp:revision>
  <dcterms:created xsi:type="dcterms:W3CDTF">2024-12-19T07:21:00Z</dcterms:created>
  <dcterms:modified xsi:type="dcterms:W3CDTF">2024-12-19T07:21:00Z</dcterms:modified>
</cp:coreProperties>
</file>