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14.08.2024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53-2024-0006953</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Auf der Grundlage des §</w:t>
      </w:r>
      <w:bookmarkStart w:id="0" w:name="_GoBack"/>
      <w:bookmarkEnd w:id="0"/>
      <w:r>
        <w:rPr>
          <w:rFonts w:ascii="Arial" w:hAnsi="Arial" w:cs="Arial"/>
          <w:sz w:val="24"/>
          <w:szCs w:val="24"/>
        </w:rPr>
        <w:t xml:space="preserve"> 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Die INEOS Manufacturing Deutschland GmbH hat gem. § 16 Bundes-Immissionsschutzgesetz (BImSchG) die Genehmigung zur Änderung Tanklager Süd, Geb. Q31, Tank TK-042 in 50769 Köln, Alte Straße </w:t>
      </w:r>
      <w:proofErr w:type="gramStart"/>
      <w:r>
        <w:rPr>
          <w:rFonts w:ascii="Arial" w:hAnsi="Arial" w:cs="Arial"/>
          <w:sz w:val="24"/>
          <w:szCs w:val="24"/>
        </w:rPr>
        <w:t>201,  Gemarkung</w:t>
      </w:r>
      <w:proofErr w:type="gramEnd"/>
      <w:r>
        <w:rPr>
          <w:rFonts w:ascii="Arial" w:hAnsi="Arial" w:cs="Arial"/>
          <w:sz w:val="24"/>
          <w:szCs w:val="24"/>
        </w:rPr>
        <w:t xml:space="preserve"> Worringen, Flur 53, Flurstück 75 beantragt. </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9.2.1.2 und </w:t>
      </w:r>
      <w:proofErr w:type="gramStart"/>
      <w:r>
        <w:rPr>
          <w:rFonts w:ascii="Arial" w:hAnsi="Arial" w:cs="Arial"/>
          <w:sz w:val="24"/>
          <w:szCs w:val="24"/>
        </w:rPr>
        <w:t>9.3.2  der</w:t>
      </w:r>
      <w:proofErr w:type="gramEnd"/>
      <w:r>
        <w:rPr>
          <w:rFonts w:ascii="Arial" w:hAnsi="Arial" w:cs="Arial"/>
          <w:sz w:val="24"/>
          <w:szCs w:val="24"/>
        </w:rPr>
        <w:t xml:space="preserve"> Anlage 1 des UVPG. Es wurde eine allgemeine Vorprüfung nach § 9 Absatz 2 Nr. 2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aufgrund der beantragten neuen Abgasreinigungsanlage keine weiteren relevanten Luftverunreinigungen aus direkten Quellen. Des </w:t>
      </w:r>
      <w:proofErr w:type="gramStart"/>
      <w:r>
        <w:rPr>
          <w:rFonts w:ascii="Arial" w:hAnsi="Arial" w:cs="Arial"/>
          <w:sz w:val="24"/>
          <w:szCs w:val="24"/>
        </w:rPr>
        <w:t>weiteren</w:t>
      </w:r>
      <w:proofErr w:type="gramEnd"/>
      <w:r>
        <w:rPr>
          <w:rFonts w:ascii="Arial" w:hAnsi="Arial" w:cs="Arial"/>
          <w:sz w:val="24"/>
          <w:szCs w:val="24"/>
        </w:rPr>
        <w:t xml:space="preserve"> sind keine zusätzlich relevanten Emissionen aus diffusen Quellen zu erwarten, da die diesbezüglich Vorgaben der TA-Luft eingehalten werden.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3</cp:revision>
  <cp:lastPrinted>2018-11-23T13:51:00Z</cp:lastPrinted>
  <dcterms:created xsi:type="dcterms:W3CDTF">2024-08-14T14:09:00Z</dcterms:created>
  <dcterms:modified xsi:type="dcterms:W3CDTF">2024-08-14T14:10:00Z</dcterms:modified>
</cp:coreProperties>
</file>