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ext"/>
        <w:sectPr>
          <w:footerReference w:type="default" r:id="rId7"/>
          <w:headerReference w:type="first" r:id="rId8"/>
          <w:footerReference w:type="first" r:id="rId9"/>
          <w:type w:val="continuous"/>
          <w:pgSz w:w="11906" w:h="16838" w:code="9"/>
          <w:pgMar w:top="1644" w:right="1134" w:bottom="992" w:left="1418" w:header="567" w:footer="680" w:gutter="0"/>
          <w:cols w:space="720"/>
          <w:titlePg/>
        </w:sectPr>
      </w:pPr>
    </w:p>
    <w:p>
      <w:pPr>
        <w:pStyle w:val="Text"/>
        <w:rPr>
          <w:b/>
          <w:bCs/>
          <w:sz w:val="22"/>
          <w:szCs w:val="22"/>
        </w:rPr>
      </w:pPr>
      <w:bookmarkStart w:id="0" w:name="Text1"/>
      <w:bookmarkEnd w:id="0"/>
      <w:r>
        <w:rPr>
          <w:b/>
          <w:sz w:val="22"/>
          <w:szCs w:val="22"/>
        </w:rPr>
        <w:t xml:space="preserve">Antrag der Firma ABO Wind AG, Unter den Eichen 7, 65195 Wiesbaden, vom 25.04.2022, eingegangen am 27.04.2022, auf Erteilung einer Genehmigung zur Errichtung und zum Betrieb zweier Windenergieanlagen </w:t>
      </w:r>
      <w:r>
        <w:rPr>
          <w:b/>
          <w:bCs/>
          <w:sz w:val="22"/>
          <w:szCs w:val="22"/>
        </w:rPr>
        <w:t xml:space="preserve">des Typs </w:t>
      </w:r>
      <w:proofErr w:type="spellStart"/>
      <w:r>
        <w:rPr>
          <w:b/>
          <w:bCs/>
          <w:sz w:val="22"/>
          <w:szCs w:val="22"/>
        </w:rPr>
        <w:t>Nordex</w:t>
      </w:r>
      <w:proofErr w:type="spellEnd"/>
      <w:r>
        <w:rPr>
          <w:b/>
          <w:bCs/>
          <w:sz w:val="22"/>
          <w:szCs w:val="22"/>
        </w:rPr>
        <w:t xml:space="preserve"> N149/5.7 in </w:t>
      </w:r>
      <w:r>
        <w:rPr>
          <w:b/>
          <w:sz w:val="22"/>
          <w:szCs w:val="22"/>
        </w:rPr>
        <w:t>58239 Schwerte</w:t>
      </w:r>
      <w:r>
        <w:rPr>
          <w:b/>
          <w:bCs/>
          <w:sz w:val="22"/>
          <w:szCs w:val="22"/>
        </w:rPr>
        <w:t xml:space="preserve">, Gemarkung </w:t>
      </w:r>
      <w:proofErr w:type="spellStart"/>
      <w:r>
        <w:rPr>
          <w:b/>
          <w:sz w:val="22"/>
          <w:szCs w:val="22"/>
        </w:rPr>
        <w:t>Ergste</w:t>
      </w:r>
      <w:proofErr w:type="spellEnd"/>
      <w:r>
        <w:rPr>
          <w:b/>
          <w:bCs/>
          <w:sz w:val="22"/>
          <w:szCs w:val="22"/>
        </w:rPr>
        <w:t xml:space="preserve">, Flur </w:t>
      </w:r>
      <w:r>
        <w:rPr>
          <w:b/>
          <w:sz w:val="22"/>
          <w:szCs w:val="22"/>
        </w:rPr>
        <w:t>7</w:t>
      </w:r>
      <w:r>
        <w:rPr>
          <w:b/>
          <w:bCs/>
          <w:sz w:val="22"/>
          <w:szCs w:val="22"/>
        </w:rPr>
        <w:t>, Flurstücke 6, 17 und 18</w:t>
      </w:r>
    </w:p>
    <w:p>
      <w:pPr>
        <w:pStyle w:val="Text"/>
        <w:rPr>
          <w:b/>
        </w:rPr>
      </w:pPr>
    </w:p>
    <w:p>
      <w:pPr>
        <w:pStyle w:val="Text"/>
        <w:rPr>
          <w:b/>
        </w:rPr>
      </w:pPr>
    </w:p>
    <w:p>
      <w:pPr>
        <w:pStyle w:val="Text"/>
        <w:jc w:val="center"/>
        <w:rPr>
          <w:sz w:val="22"/>
          <w:szCs w:val="22"/>
        </w:rPr>
      </w:pPr>
      <w:r>
        <w:rPr>
          <w:sz w:val="22"/>
          <w:szCs w:val="22"/>
        </w:rPr>
        <w:t>Kreisverwaltung Unna, 23.09.2022</w:t>
      </w:r>
    </w:p>
    <w:p>
      <w:pPr>
        <w:pStyle w:val="Text"/>
        <w:jc w:val="center"/>
      </w:pPr>
      <w:r>
        <w:rPr>
          <w:sz w:val="22"/>
          <w:szCs w:val="22"/>
        </w:rPr>
        <w:t>69.3/2.07.0017683-BIMG-1</w:t>
      </w:r>
    </w:p>
    <w:p>
      <w:pPr>
        <w:pStyle w:val="Text"/>
        <w:jc w:val="center"/>
      </w:pPr>
    </w:p>
    <w:p>
      <w:pPr>
        <w:pStyle w:val="Text"/>
        <w:jc w:val="center"/>
      </w:pPr>
    </w:p>
    <w:p>
      <w:pPr>
        <w:pStyle w:val="Text"/>
        <w:jc w:val="center"/>
        <w:rPr>
          <w:b/>
          <w:sz w:val="22"/>
          <w:szCs w:val="22"/>
          <w:u w:val="single"/>
        </w:rPr>
      </w:pPr>
      <w:r>
        <w:rPr>
          <w:b/>
          <w:sz w:val="22"/>
          <w:szCs w:val="22"/>
          <w:u w:val="single"/>
        </w:rPr>
        <w:t>Bekanntmachung</w:t>
      </w:r>
    </w:p>
    <w:p>
      <w:pPr>
        <w:pStyle w:val="Text"/>
        <w:jc w:val="center"/>
        <w:rPr>
          <w:b/>
          <w:sz w:val="22"/>
          <w:szCs w:val="22"/>
          <w:u w:val="single"/>
        </w:rPr>
      </w:pPr>
    </w:p>
    <w:p>
      <w:pPr>
        <w:pStyle w:val="Text"/>
      </w:pPr>
      <w:r>
        <w:t xml:space="preserve">Die Firma ABO Wind AG, Unter den Eichen 7, 65195 Wiesbaden, beantragt gemäß § 4 des Gesetzes zum Schutz vor schädlichen Umwelteinwirkungen durch Luftverunreinigungen, Geräusche, Erschütterungen und ähnliche Vorgänge (Bundes-Immissionsschutzgesetz – BImSchG) in der Neufassung vom 17.05.2013 (BGBl. I S. 1274, </w:t>
      </w:r>
      <w:proofErr w:type="spellStart"/>
      <w:r>
        <w:t>ber</w:t>
      </w:r>
      <w:proofErr w:type="spellEnd"/>
      <w:r>
        <w:t xml:space="preserve">. S. 3753 / FNA 2129-8), zuletzt geändert am 24.09.2021 (BGBl. I S. 4458), beim Kreis Unna als zuständiger Genehmigungsbehörde die Erteilung der Genehmigung für die Errichtung und den Betrieb von zwei Windenergieanlagen des Typs </w:t>
      </w:r>
      <w:proofErr w:type="spellStart"/>
      <w:r>
        <w:t>Nordex</w:t>
      </w:r>
      <w:proofErr w:type="spellEnd"/>
      <w:r>
        <w:t xml:space="preserve"> N149/5.7 in 58239 Schwerte, Gemarkung </w:t>
      </w:r>
      <w:proofErr w:type="spellStart"/>
      <w:r>
        <w:t>Ergste</w:t>
      </w:r>
      <w:proofErr w:type="spellEnd"/>
      <w:r>
        <w:t xml:space="preserve">, Flur 7, Flurstücke 6, 17 und 18, in der </w:t>
      </w:r>
      <w:proofErr w:type="spellStart"/>
      <w:r>
        <w:t>Schälker</w:t>
      </w:r>
      <w:proofErr w:type="spellEnd"/>
      <w:r>
        <w:t xml:space="preserve"> Heide.</w:t>
      </w:r>
    </w:p>
    <w:p>
      <w:pPr>
        <w:pStyle w:val="Text"/>
      </w:pPr>
    </w:p>
    <w:p>
      <w:pPr>
        <w:pStyle w:val="Text"/>
      </w:pPr>
      <w:r>
        <w:t>Standortkoordinaten und Anlagentypen:</w:t>
      </w:r>
    </w:p>
    <w:p>
      <w:pPr>
        <w:pStyle w:val="Text"/>
      </w:pPr>
    </w:p>
    <w:tbl>
      <w:tblPr>
        <w:tblStyle w:val="Tabellenraster"/>
        <w:tblW w:w="0" w:type="auto"/>
        <w:tblLook w:val="04A0" w:firstRow="1" w:lastRow="0" w:firstColumn="1" w:lastColumn="0" w:noHBand="0" w:noVBand="1"/>
      </w:tblPr>
      <w:tblGrid>
        <w:gridCol w:w="704"/>
        <w:gridCol w:w="1276"/>
        <w:gridCol w:w="2268"/>
        <w:gridCol w:w="1276"/>
        <w:gridCol w:w="1150"/>
        <w:gridCol w:w="1335"/>
        <w:gridCol w:w="1335"/>
      </w:tblGrid>
      <w:tr>
        <w:tc>
          <w:tcPr>
            <w:tcW w:w="704" w:type="dxa"/>
            <w:vMerge w:val="restart"/>
            <w:shd w:val="clear" w:color="auto" w:fill="BFBFBF" w:themeFill="background1" w:themeFillShade="BF"/>
          </w:tcPr>
          <w:p>
            <w:pPr>
              <w:pStyle w:val="Text"/>
              <w:jc w:val="center"/>
              <w:rPr>
                <w:b/>
              </w:rPr>
            </w:pPr>
          </w:p>
          <w:p>
            <w:pPr>
              <w:pStyle w:val="Text"/>
              <w:jc w:val="center"/>
              <w:rPr>
                <w:b/>
              </w:rPr>
            </w:pPr>
            <w:r>
              <w:rPr>
                <w:b/>
              </w:rPr>
              <w:t>Nr.</w:t>
            </w:r>
          </w:p>
        </w:tc>
        <w:tc>
          <w:tcPr>
            <w:tcW w:w="1276" w:type="dxa"/>
            <w:vMerge w:val="restart"/>
            <w:shd w:val="clear" w:color="auto" w:fill="BFBFBF" w:themeFill="background1" w:themeFillShade="BF"/>
          </w:tcPr>
          <w:p>
            <w:pPr>
              <w:pStyle w:val="Text"/>
              <w:jc w:val="center"/>
              <w:rPr>
                <w:b/>
              </w:rPr>
            </w:pPr>
            <w:r>
              <w:rPr>
                <w:b/>
              </w:rPr>
              <w:t>WEA</w:t>
            </w:r>
          </w:p>
          <w:p>
            <w:pPr>
              <w:pStyle w:val="Text"/>
              <w:jc w:val="center"/>
              <w:rPr>
                <w:b/>
              </w:rPr>
            </w:pPr>
            <w:r>
              <w:rPr>
                <w:b/>
              </w:rPr>
              <w:t>Bezeichnung</w:t>
            </w:r>
          </w:p>
        </w:tc>
        <w:tc>
          <w:tcPr>
            <w:tcW w:w="2268" w:type="dxa"/>
            <w:vMerge w:val="restart"/>
            <w:shd w:val="clear" w:color="auto" w:fill="BFBFBF" w:themeFill="background1" w:themeFillShade="BF"/>
          </w:tcPr>
          <w:p>
            <w:pPr>
              <w:pStyle w:val="Text"/>
              <w:jc w:val="center"/>
              <w:rPr>
                <w:b/>
              </w:rPr>
            </w:pPr>
            <w:r>
              <w:rPr>
                <w:b/>
              </w:rPr>
              <w:t>WEA</w:t>
            </w:r>
          </w:p>
          <w:p>
            <w:pPr>
              <w:pStyle w:val="Text"/>
              <w:jc w:val="center"/>
              <w:rPr>
                <w:b/>
              </w:rPr>
            </w:pPr>
            <w:r>
              <w:rPr>
                <w:b/>
              </w:rPr>
              <w:t>Typ</w:t>
            </w:r>
          </w:p>
        </w:tc>
        <w:tc>
          <w:tcPr>
            <w:tcW w:w="1276" w:type="dxa"/>
            <w:vMerge w:val="restart"/>
            <w:shd w:val="clear" w:color="auto" w:fill="BFBFBF" w:themeFill="background1" w:themeFillShade="BF"/>
          </w:tcPr>
          <w:p>
            <w:pPr>
              <w:pStyle w:val="Text"/>
              <w:jc w:val="center"/>
              <w:rPr>
                <w:b/>
              </w:rPr>
            </w:pPr>
            <w:r>
              <w:rPr>
                <w:b/>
              </w:rPr>
              <w:t>Rotordurch-messer</w:t>
            </w:r>
          </w:p>
        </w:tc>
        <w:tc>
          <w:tcPr>
            <w:tcW w:w="1150" w:type="dxa"/>
            <w:vMerge w:val="restart"/>
            <w:shd w:val="clear" w:color="auto" w:fill="BFBFBF" w:themeFill="background1" w:themeFillShade="BF"/>
          </w:tcPr>
          <w:p>
            <w:pPr>
              <w:pStyle w:val="Text"/>
              <w:jc w:val="center"/>
              <w:rPr>
                <w:b/>
              </w:rPr>
            </w:pPr>
            <w:r>
              <w:rPr>
                <w:b/>
              </w:rPr>
              <w:t>Gesamt-höhe</w:t>
            </w:r>
          </w:p>
        </w:tc>
        <w:tc>
          <w:tcPr>
            <w:tcW w:w="2670" w:type="dxa"/>
            <w:gridSpan w:val="2"/>
            <w:shd w:val="clear" w:color="auto" w:fill="BFBFBF" w:themeFill="background1" w:themeFillShade="BF"/>
          </w:tcPr>
          <w:p>
            <w:pPr>
              <w:pStyle w:val="Text"/>
              <w:jc w:val="center"/>
              <w:rPr>
                <w:b/>
              </w:rPr>
            </w:pPr>
            <w:r>
              <w:rPr>
                <w:b/>
              </w:rPr>
              <w:t>Koordinaten</w:t>
            </w:r>
          </w:p>
          <w:p>
            <w:pPr>
              <w:pStyle w:val="Text"/>
              <w:jc w:val="center"/>
              <w:rPr>
                <w:b/>
              </w:rPr>
            </w:pPr>
            <w:r>
              <w:rPr>
                <w:b/>
              </w:rPr>
              <w:t>UTM Zone 32</w:t>
            </w:r>
          </w:p>
        </w:tc>
      </w:tr>
      <w:tr>
        <w:tc>
          <w:tcPr>
            <w:tcW w:w="704" w:type="dxa"/>
            <w:vMerge/>
            <w:shd w:val="clear" w:color="auto" w:fill="BFBFBF" w:themeFill="background1" w:themeFillShade="BF"/>
          </w:tcPr>
          <w:p>
            <w:pPr>
              <w:pStyle w:val="Text"/>
              <w:rPr>
                <w:b/>
              </w:rPr>
            </w:pPr>
          </w:p>
        </w:tc>
        <w:tc>
          <w:tcPr>
            <w:tcW w:w="1276" w:type="dxa"/>
            <w:vMerge/>
            <w:shd w:val="clear" w:color="auto" w:fill="BFBFBF" w:themeFill="background1" w:themeFillShade="BF"/>
          </w:tcPr>
          <w:p>
            <w:pPr>
              <w:pStyle w:val="Text"/>
              <w:jc w:val="center"/>
              <w:rPr>
                <w:b/>
              </w:rPr>
            </w:pPr>
          </w:p>
        </w:tc>
        <w:tc>
          <w:tcPr>
            <w:tcW w:w="2268" w:type="dxa"/>
            <w:vMerge/>
            <w:shd w:val="clear" w:color="auto" w:fill="BFBFBF" w:themeFill="background1" w:themeFillShade="BF"/>
          </w:tcPr>
          <w:p>
            <w:pPr>
              <w:pStyle w:val="Text"/>
              <w:jc w:val="center"/>
              <w:rPr>
                <w:b/>
              </w:rPr>
            </w:pPr>
          </w:p>
        </w:tc>
        <w:tc>
          <w:tcPr>
            <w:tcW w:w="1276" w:type="dxa"/>
            <w:vMerge/>
            <w:shd w:val="clear" w:color="auto" w:fill="BFBFBF" w:themeFill="background1" w:themeFillShade="BF"/>
          </w:tcPr>
          <w:p>
            <w:pPr>
              <w:pStyle w:val="Text"/>
              <w:jc w:val="center"/>
              <w:rPr>
                <w:b/>
              </w:rPr>
            </w:pPr>
          </w:p>
        </w:tc>
        <w:tc>
          <w:tcPr>
            <w:tcW w:w="1150" w:type="dxa"/>
            <w:vMerge/>
            <w:shd w:val="clear" w:color="auto" w:fill="BFBFBF" w:themeFill="background1" w:themeFillShade="BF"/>
          </w:tcPr>
          <w:p>
            <w:pPr>
              <w:pStyle w:val="Text"/>
              <w:jc w:val="center"/>
              <w:rPr>
                <w:b/>
              </w:rPr>
            </w:pPr>
          </w:p>
        </w:tc>
        <w:tc>
          <w:tcPr>
            <w:tcW w:w="1335" w:type="dxa"/>
            <w:shd w:val="clear" w:color="auto" w:fill="BFBFBF" w:themeFill="background1" w:themeFillShade="BF"/>
          </w:tcPr>
          <w:p>
            <w:pPr>
              <w:pStyle w:val="Text"/>
              <w:jc w:val="center"/>
              <w:rPr>
                <w:b/>
              </w:rPr>
            </w:pPr>
            <w:r>
              <w:rPr>
                <w:b/>
              </w:rPr>
              <w:t>Rechtswert</w:t>
            </w:r>
          </w:p>
        </w:tc>
        <w:tc>
          <w:tcPr>
            <w:tcW w:w="1335" w:type="dxa"/>
            <w:shd w:val="clear" w:color="auto" w:fill="BFBFBF" w:themeFill="background1" w:themeFillShade="BF"/>
          </w:tcPr>
          <w:p>
            <w:pPr>
              <w:pStyle w:val="Text"/>
              <w:jc w:val="center"/>
              <w:rPr>
                <w:b/>
              </w:rPr>
            </w:pPr>
            <w:r>
              <w:rPr>
                <w:b/>
              </w:rPr>
              <w:t>Hochwert</w:t>
            </w:r>
          </w:p>
        </w:tc>
      </w:tr>
      <w:tr>
        <w:tc>
          <w:tcPr>
            <w:tcW w:w="704" w:type="dxa"/>
          </w:tcPr>
          <w:p>
            <w:pPr>
              <w:pStyle w:val="Text"/>
              <w:jc w:val="center"/>
              <w:rPr>
                <w:b/>
              </w:rPr>
            </w:pPr>
          </w:p>
          <w:p>
            <w:pPr>
              <w:pStyle w:val="Text"/>
              <w:jc w:val="center"/>
              <w:rPr>
                <w:b/>
              </w:rPr>
            </w:pPr>
            <w:r>
              <w:rPr>
                <w:b/>
              </w:rPr>
              <w:t>1</w:t>
            </w:r>
          </w:p>
          <w:p>
            <w:pPr>
              <w:pStyle w:val="Text"/>
              <w:jc w:val="center"/>
              <w:rPr>
                <w:b/>
              </w:rPr>
            </w:pPr>
          </w:p>
        </w:tc>
        <w:tc>
          <w:tcPr>
            <w:tcW w:w="1276" w:type="dxa"/>
          </w:tcPr>
          <w:p>
            <w:pPr>
              <w:pStyle w:val="Text"/>
              <w:jc w:val="center"/>
              <w:rPr>
                <w:b/>
              </w:rPr>
            </w:pPr>
          </w:p>
          <w:p>
            <w:pPr>
              <w:pStyle w:val="Text"/>
              <w:jc w:val="center"/>
              <w:rPr>
                <w:b/>
              </w:rPr>
            </w:pPr>
            <w:r>
              <w:rPr>
                <w:b/>
              </w:rPr>
              <w:t>WEA 1</w:t>
            </w:r>
          </w:p>
        </w:tc>
        <w:tc>
          <w:tcPr>
            <w:tcW w:w="2268" w:type="dxa"/>
          </w:tcPr>
          <w:p>
            <w:pPr>
              <w:pStyle w:val="Text"/>
              <w:jc w:val="center"/>
              <w:rPr>
                <w:b/>
              </w:rPr>
            </w:pPr>
          </w:p>
          <w:p>
            <w:pPr>
              <w:pStyle w:val="Text"/>
              <w:jc w:val="center"/>
              <w:rPr>
                <w:b/>
              </w:rPr>
            </w:pPr>
            <w:proofErr w:type="spellStart"/>
            <w:r>
              <w:rPr>
                <w:b/>
              </w:rPr>
              <w:t>Nordex</w:t>
            </w:r>
            <w:proofErr w:type="spellEnd"/>
            <w:r>
              <w:rPr>
                <w:b/>
              </w:rPr>
              <w:t xml:space="preserve"> N149/5.7</w:t>
            </w:r>
          </w:p>
        </w:tc>
        <w:tc>
          <w:tcPr>
            <w:tcW w:w="1276" w:type="dxa"/>
          </w:tcPr>
          <w:p>
            <w:pPr>
              <w:pStyle w:val="Text"/>
              <w:jc w:val="center"/>
              <w:rPr>
                <w:b/>
              </w:rPr>
            </w:pPr>
          </w:p>
          <w:p>
            <w:pPr>
              <w:pStyle w:val="Text"/>
              <w:jc w:val="center"/>
              <w:rPr>
                <w:b/>
              </w:rPr>
            </w:pPr>
            <w:r>
              <w:rPr>
                <w:b/>
              </w:rPr>
              <w:t>149,1 m</w:t>
            </w:r>
          </w:p>
        </w:tc>
        <w:tc>
          <w:tcPr>
            <w:tcW w:w="1150" w:type="dxa"/>
          </w:tcPr>
          <w:p>
            <w:pPr>
              <w:pStyle w:val="Text"/>
              <w:jc w:val="center"/>
              <w:rPr>
                <w:b/>
              </w:rPr>
            </w:pPr>
          </w:p>
          <w:p>
            <w:pPr>
              <w:pStyle w:val="Text"/>
              <w:jc w:val="center"/>
              <w:rPr>
                <w:b/>
              </w:rPr>
            </w:pPr>
            <w:r>
              <w:rPr>
                <w:b/>
              </w:rPr>
              <w:t>199,9 m</w:t>
            </w:r>
          </w:p>
        </w:tc>
        <w:tc>
          <w:tcPr>
            <w:tcW w:w="1335" w:type="dxa"/>
          </w:tcPr>
          <w:p>
            <w:pPr>
              <w:pStyle w:val="Text"/>
              <w:jc w:val="center"/>
              <w:rPr>
                <w:b/>
              </w:rPr>
            </w:pPr>
          </w:p>
          <w:p>
            <w:pPr>
              <w:pStyle w:val="Text"/>
              <w:jc w:val="center"/>
              <w:rPr>
                <w:b/>
              </w:rPr>
            </w:pPr>
            <w:r>
              <w:rPr>
                <w:b/>
              </w:rPr>
              <w:t>403.626</w:t>
            </w:r>
          </w:p>
        </w:tc>
        <w:tc>
          <w:tcPr>
            <w:tcW w:w="1335" w:type="dxa"/>
          </w:tcPr>
          <w:p>
            <w:pPr>
              <w:pStyle w:val="Text"/>
              <w:jc w:val="center"/>
              <w:rPr>
                <w:b/>
              </w:rPr>
            </w:pPr>
          </w:p>
          <w:p>
            <w:pPr>
              <w:pStyle w:val="Text"/>
              <w:jc w:val="center"/>
              <w:rPr>
                <w:b/>
              </w:rPr>
            </w:pPr>
            <w:r>
              <w:rPr>
                <w:b/>
              </w:rPr>
              <w:t>5.694.438</w:t>
            </w:r>
          </w:p>
        </w:tc>
      </w:tr>
      <w:tr>
        <w:tc>
          <w:tcPr>
            <w:tcW w:w="704" w:type="dxa"/>
          </w:tcPr>
          <w:p>
            <w:pPr>
              <w:pStyle w:val="Text"/>
              <w:jc w:val="center"/>
              <w:rPr>
                <w:b/>
              </w:rPr>
            </w:pPr>
          </w:p>
          <w:p>
            <w:pPr>
              <w:pStyle w:val="Text"/>
              <w:jc w:val="center"/>
              <w:rPr>
                <w:b/>
              </w:rPr>
            </w:pPr>
            <w:r>
              <w:rPr>
                <w:b/>
              </w:rPr>
              <w:t>2</w:t>
            </w:r>
          </w:p>
          <w:p>
            <w:pPr>
              <w:pStyle w:val="Text"/>
              <w:jc w:val="center"/>
              <w:rPr>
                <w:b/>
              </w:rPr>
            </w:pPr>
          </w:p>
        </w:tc>
        <w:tc>
          <w:tcPr>
            <w:tcW w:w="1276" w:type="dxa"/>
          </w:tcPr>
          <w:p>
            <w:pPr>
              <w:pStyle w:val="Text"/>
              <w:jc w:val="center"/>
              <w:rPr>
                <w:b/>
              </w:rPr>
            </w:pPr>
          </w:p>
          <w:p>
            <w:pPr>
              <w:pStyle w:val="Text"/>
              <w:jc w:val="center"/>
              <w:rPr>
                <w:b/>
              </w:rPr>
            </w:pPr>
            <w:r>
              <w:rPr>
                <w:b/>
              </w:rPr>
              <w:t>WEA 2</w:t>
            </w:r>
          </w:p>
        </w:tc>
        <w:tc>
          <w:tcPr>
            <w:tcW w:w="2268" w:type="dxa"/>
          </w:tcPr>
          <w:p>
            <w:pPr>
              <w:pStyle w:val="Text"/>
              <w:jc w:val="center"/>
              <w:rPr>
                <w:b/>
              </w:rPr>
            </w:pPr>
          </w:p>
          <w:p>
            <w:pPr>
              <w:pStyle w:val="Text"/>
              <w:jc w:val="center"/>
              <w:rPr>
                <w:b/>
              </w:rPr>
            </w:pPr>
            <w:proofErr w:type="spellStart"/>
            <w:r>
              <w:rPr>
                <w:b/>
              </w:rPr>
              <w:t>Nordex</w:t>
            </w:r>
            <w:proofErr w:type="spellEnd"/>
            <w:r>
              <w:rPr>
                <w:b/>
              </w:rPr>
              <w:t xml:space="preserve"> N149/5.7</w:t>
            </w:r>
          </w:p>
        </w:tc>
        <w:tc>
          <w:tcPr>
            <w:tcW w:w="1276" w:type="dxa"/>
          </w:tcPr>
          <w:p>
            <w:pPr>
              <w:pStyle w:val="Text"/>
              <w:jc w:val="center"/>
              <w:rPr>
                <w:b/>
              </w:rPr>
            </w:pPr>
          </w:p>
          <w:p>
            <w:pPr>
              <w:pStyle w:val="Text"/>
              <w:jc w:val="center"/>
              <w:rPr>
                <w:b/>
              </w:rPr>
            </w:pPr>
            <w:r>
              <w:rPr>
                <w:b/>
              </w:rPr>
              <w:t>149,1 m</w:t>
            </w:r>
          </w:p>
        </w:tc>
        <w:tc>
          <w:tcPr>
            <w:tcW w:w="1150" w:type="dxa"/>
          </w:tcPr>
          <w:p>
            <w:pPr>
              <w:pStyle w:val="Text"/>
              <w:jc w:val="center"/>
              <w:rPr>
                <w:b/>
              </w:rPr>
            </w:pPr>
          </w:p>
          <w:p>
            <w:pPr>
              <w:pStyle w:val="Text"/>
              <w:jc w:val="center"/>
              <w:rPr>
                <w:b/>
              </w:rPr>
            </w:pPr>
            <w:r>
              <w:rPr>
                <w:b/>
              </w:rPr>
              <w:t>199,9 m</w:t>
            </w:r>
          </w:p>
        </w:tc>
        <w:tc>
          <w:tcPr>
            <w:tcW w:w="1335" w:type="dxa"/>
          </w:tcPr>
          <w:p>
            <w:pPr>
              <w:pStyle w:val="Text"/>
              <w:jc w:val="center"/>
              <w:rPr>
                <w:b/>
              </w:rPr>
            </w:pPr>
          </w:p>
          <w:p>
            <w:pPr>
              <w:pStyle w:val="Text"/>
              <w:jc w:val="center"/>
              <w:rPr>
                <w:b/>
              </w:rPr>
            </w:pPr>
            <w:r>
              <w:rPr>
                <w:b/>
              </w:rPr>
              <w:t>403.507</w:t>
            </w:r>
          </w:p>
        </w:tc>
        <w:tc>
          <w:tcPr>
            <w:tcW w:w="1335" w:type="dxa"/>
          </w:tcPr>
          <w:p>
            <w:pPr>
              <w:pStyle w:val="Text"/>
              <w:jc w:val="center"/>
              <w:rPr>
                <w:b/>
              </w:rPr>
            </w:pPr>
          </w:p>
          <w:p>
            <w:pPr>
              <w:pStyle w:val="Text"/>
              <w:jc w:val="center"/>
              <w:rPr>
                <w:b/>
              </w:rPr>
            </w:pPr>
            <w:r>
              <w:rPr>
                <w:b/>
              </w:rPr>
              <w:t>5.694.052</w:t>
            </w:r>
          </w:p>
        </w:tc>
      </w:tr>
    </w:tbl>
    <w:p>
      <w:pPr>
        <w:pStyle w:val="Text"/>
      </w:pPr>
    </w:p>
    <w:p>
      <w:pPr>
        <w:pStyle w:val="Text"/>
      </w:pPr>
      <w:r>
        <w:t xml:space="preserve">Auf dem Gebiet der Stadt Iserlohn in der </w:t>
      </w:r>
      <w:proofErr w:type="spellStart"/>
      <w:r>
        <w:t>Schälker</w:t>
      </w:r>
      <w:proofErr w:type="spellEnd"/>
      <w:r>
        <w:t xml:space="preserve"> Heide befinden sich ebenfalls drei Windenergieanlagen der Firma ABO Wind AG im Genehmigungsverfahren beim Märkischen Kreis, die zusammen mit den hier beantragten Windenergieanlagen einen gemeinsamen Windpark bilden sollen.</w:t>
      </w:r>
    </w:p>
    <w:p>
      <w:pPr>
        <w:pStyle w:val="Text"/>
      </w:pPr>
    </w:p>
    <w:p>
      <w:pPr>
        <w:pStyle w:val="Text"/>
      </w:pPr>
      <w:r>
        <w:t>Die immissionsschutzrechtliche Genehmigungspflicht für derartige Anlagen ergibt sich aus der Nr. 1.6.2 des Anhangs 1 der Vierten Verordnung zur Durchführung des Bundes-Immissionsschutzgesetzes (Verordnung über genehmigungsbedürftige Anlagen – 4. BImSchV - ) in der Neufassung vom 31.05.2017 (BGBl: I S. 1440), zuletzt geändert am 12.01.2021 (BGBl. I S. 69).</w:t>
      </w:r>
    </w:p>
    <w:p>
      <w:pPr>
        <w:pStyle w:val="Text"/>
      </w:pPr>
      <w:r>
        <w:t>Es handelt sich dabei um Anlagen zur Nutzung von Windenergie mit einer Gesamthöhe von mehr als 50 Metern und weniger als 20 Windkraftanlagen.</w:t>
      </w:r>
    </w:p>
    <w:p>
      <w:pPr>
        <w:pStyle w:val="Text"/>
      </w:pPr>
      <w:r>
        <w:t xml:space="preserve">Des Weiteren ist für das beantragte Vorhaben nach § 7 Abs. 2 des Gesetzes über die Umweltverträglichkeitsprüfung – UVPG vom 18.03.2021 (BGBl. I S. 540), zuletzt geändert am 10.09.2021 (BGBl. I S. 4147, 4153) in Verbindung mit Ziffer 1.6.3 Anlage 1 des Anhangs zum UVPG eine standortbezogene Vorprüfung des Einzelfalls vorzunehmen. Die Firma ABO Wind AG hat aber nach § 7 Abs. 3 UVPG die Durchführung </w:t>
      </w:r>
      <w:r>
        <w:lastRenderedPageBreak/>
        <w:t>einer „freiwilligen“ Umweltverträglichkeitsprüfung beantragt. Die standortbezogene Vorprüfung entfällt, weil der Kreis Unna dies als zweckmäßig erachtet. Für das Vorhaben besteht gemäß § 7 Abs. 3 Satz 2 UVPG die Pflicht zur Umweltverträglichkeitsprüfung (UVP-Pflicht). Die Umweltverträglichkeitsprüfung ist nach § 1 Abs 2 der Neunten Verordnung zur Durchführung des Bundes-Immissionsschutzgesetzes (Verordnung über das Genehmigungsverfahren – 9. BImSchV) in der Fassung der Bekanntmachung vom 29.05.1992 (BGBl. I S. 1001), zuletzt geändert am 11.11.2020 (BGBl. I S. 2428, 2429) unselbstständiger Teil des Genehmigungsverfahrens. Ein UVP-Bericht wurde vorgelegt (§ 9 Abs. 1a Nr. 2 der 9. BImSchV)</w:t>
      </w:r>
    </w:p>
    <w:p>
      <w:pPr>
        <w:pStyle w:val="Text"/>
      </w:pPr>
    </w:p>
    <w:p>
      <w:pPr>
        <w:pStyle w:val="Text"/>
      </w:pPr>
      <w:r>
        <w:t>Sofern die beantragte Genehmigung erteilt wird, sollen die Anlagen im 4. Quartal des Jahres 2023 in Betrieb genommen werden.</w:t>
      </w:r>
    </w:p>
    <w:p>
      <w:pPr>
        <w:pStyle w:val="Text"/>
      </w:pPr>
    </w:p>
    <w:p>
      <w:r>
        <w:t xml:space="preserve">Der </w:t>
      </w:r>
      <w:r>
        <w:rPr>
          <w:b/>
          <w:bCs/>
        </w:rPr>
        <w:t xml:space="preserve">Genehmigungsantrag </w:t>
      </w:r>
      <w:r>
        <w:t xml:space="preserve">und die dazugehörigen Unterlagen einschließlich der entscheidungserheblichen Berichte wie Immissionsschutz-Gutachten, artenschutzrechtlicher Fachbeitrag und die FFH-Vorprüfung nach § 34 </w:t>
      </w:r>
      <w:proofErr w:type="spellStart"/>
      <w:r>
        <w:t>BNatschG</w:t>
      </w:r>
      <w:proofErr w:type="spellEnd"/>
      <w:r>
        <w:t xml:space="preserve"> können in der Zeit </w:t>
      </w:r>
      <w:r>
        <w:rPr>
          <w:b/>
          <w:bCs/>
        </w:rPr>
        <w:t xml:space="preserve">vom </w:t>
      </w:r>
      <w:r>
        <w:rPr>
          <w:b/>
        </w:rPr>
        <w:t xml:space="preserve">04.10.2022 </w:t>
      </w:r>
      <w:r>
        <w:rPr>
          <w:b/>
          <w:bCs/>
        </w:rPr>
        <w:t xml:space="preserve">bis einschließlich </w:t>
      </w:r>
      <w:r>
        <w:rPr>
          <w:b/>
        </w:rPr>
        <w:t xml:space="preserve">04.11.2022 </w:t>
      </w:r>
      <w:r>
        <w:t>unter folgendem Link abgerufen werden:</w:t>
      </w:r>
    </w:p>
    <w:p/>
    <w:p>
      <w:pPr>
        <w:pStyle w:val="Listenabsatz"/>
        <w:numPr>
          <w:ilvl w:val="0"/>
          <w:numId w:val="4"/>
        </w:numPr>
        <w:rPr>
          <w:rFonts w:cs="Arial"/>
        </w:rPr>
      </w:pPr>
      <w:hyperlink r:id="rId10" w:history="1">
        <w:r>
          <w:rPr>
            <w:rStyle w:val="Hyperlink"/>
            <w:rFonts w:cs="Arial"/>
          </w:rPr>
          <w:t>https://cloud.kreis-unna.de/index.php/s/684sdsHefQPodgw</w:t>
        </w:r>
      </w:hyperlink>
    </w:p>
    <w:p>
      <w:pPr>
        <w:rPr>
          <w:rFonts w:cs="Arial"/>
        </w:rPr>
      </w:pPr>
    </w:p>
    <w:p>
      <w:pPr>
        <w:rPr>
          <w:b/>
        </w:rPr>
      </w:pPr>
      <w:r>
        <w:t xml:space="preserve">Zusätzlich kann in diesem Zeitraum nach vorheriger Terminvereinbarung unter Fon 02303 27-3472 von einzelnen Personen in der Kreisverwaltung Unna, Fachbereich Natur und Umwelt, Dienstgebäude </w:t>
      </w:r>
      <w:proofErr w:type="spellStart"/>
      <w:r>
        <w:t>Edisonstraße</w:t>
      </w:r>
      <w:proofErr w:type="spellEnd"/>
      <w:r>
        <w:t xml:space="preserve"> 1a, 59199 Bönen, Raum 125, unter Beachtung der COVID-19-Hygienemaßnahmen (Maskenpflicht für Besucher im Dienstgebäude) Einsicht in die Antragsunterlagen genommen werden.</w:t>
      </w:r>
    </w:p>
    <w:p>
      <w:pPr>
        <w:pStyle w:val="Text"/>
        <w:ind w:left="360"/>
      </w:pPr>
    </w:p>
    <w:p>
      <w:pPr>
        <w:autoSpaceDE w:val="0"/>
        <w:autoSpaceDN w:val="0"/>
      </w:pPr>
      <w:r>
        <w:t xml:space="preserve">Etwaige </w:t>
      </w:r>
      <w:r>
        <w:rPr>
          <w:b/>
          <w:bCs/>
        </w:rPr>
        <w:t>Einwendungen</w:t>
      </w:r>
      <w:r>
        <w:t xml:space="preserve"> gegen das Vorhaben können</w:t>
      </w:r>
      <w:r>
        <w:rPr>
          <w:b/>
          <w:bCs/>
        </w:rPr>
        <w:t xml:space="preserve"> bis einschließlich </w:t>
      </w:r>
      <w:r>
        <w:rPr>
          <w:b/>
        </w:rPr>
        <w:t>05.12.2022</w:t>
      </w:r>
      <w:r>
        <w:rPr>
          <w:b/>
          <w:bCs/>
        </w:rPr>
        <w:t xml:space="preserve"> </w:t>
      </w:r>
      <w:r>
        <w:t xml:space="preserve">schriftlich oder elektronisch beim </w:t>
      </w:r>
      <w:r>
        <w:rPr>
          <w:rFonts w:eastAsiaTheme="minorEastAsia" w:cs="Arial"/>
          <w:noProof/>
        </w:rPr>
        <w:t>Kreis Unna -  Fachbereich Mobilität, Natur und Umwelt, Sachgebiet Gewerblicher Umweltschutz und Abfallwirtschaft, Postfach 2112, 59411 Unna</w:t>
      </w:r>
      <w:r>
        <w:t xml:space="preserve"> oder </w:t>
      </w:r>
      <w:hyperlink r:id="rId11" w:history="1">
        <w:r>
          <w:rPr>
            <w:rStyle w:val="Hyperlink"/>
          </w:rPr>
          <w:t>fb69@kreis-unna.de</w:t>
        </w:r>
      </w:hyperlink>
      <w:r>
        <w:t xml:space="preserve"> erhoben werden. Die Einwendungen sollen die volle leserliche Anschrift des </w:t>
      </w:r>
      <w:proofErr w:type="spellStart"/>
      <w:r>
        <w:t>Einwenders</w:t>
      </w:r>
      <w:proofErr w:type="spellEnd"/>
      <w:r>
        <w:t xml:space="preserve"> tragen.</w:t>
      </w:r>
    </w:p>
    <w:p>
      <w:pPr>
        <w:rPr>
          <w:rFonts w:cs="Arial"/>
          <w:color w:val="000000"/>
          <w:szCs w:val="23"/>
        </w:rPr>
      </w:pPr>
    </w:p>
    <w:p>
      <w:pPr>
        <w:pStyle w:val="Textkrper3"/>
        <w:rPr>
          <w:sz w:val="20"/>
        </w:rPr>
      </w:pPr>
      <w:r>
        <w:rPr>
          <w:sz w:val="20"/>
        </w:rPr>
        <w:t xml:space="preserve">Nach Ablauf der Einwendungsfrist sind alle Einwendungen ausgeschlossen, die nicht auf besonderen privatrechtlichen Titeln beruhen. </w:t>
      </w:r>
    </w:p>
    <w:p>
      <w:pPr>
        <w:rPr>
          <w:rFonts w:cs="Arial"/>
          <w:color w:val="000000"/>
          <w:szCs w:val="23"/>
        </w:rPr>
      </w:pPr>
      <w:r>
        <w:rPr>
          <w:rFonts w:cs="Arial"/>
          <w:color w:val="000000"/>
          <w:szCs w:val="23"/>
        </w:rPr>
        <w:t xml:space="preserve">Die Einwendungen werden dem Antragsteller bekannt gegeben. Auf Verlangen des </w:t>
      </w:r>
      <w:proofErr w:type="spellStart"/>
      <w:r>
        <w:rPr>
          <w:rFonts w:cs="Arial"/>
          <w:color w:val="000000"/>
          <w:szCs w:val="23"/>
        </w:rPr>
        <w:t>Einwenders</w:t>
      </w:r>
      <w:proofErr w:type="spellEnd"/>
      <w:r>
        <w:rPr>
          <w:rFonts w:cs="Arial"/>
          <w:color w:val="000000"/>
          <w:szCs w:val="23"/>
        </w:rPr>
        <w:t xml:space="preserve"> werden dessen Name und Anschrift unkenntlich gemacht, soweit die Angaben nicht zur Beurteilung des Inhalts der Einwendungen erforderlich sind. </w:t>
      </w:r>
    </w:p>
    <w:p>
      <w:pPr>
        <w:pStyle w:val="Text"/>
      </w:pPr>
    </w:p>
    <w:p>
      <w:pPr>
        <w:rPr>
          <w:rFonts w:cs="Arial"/>
          <w:color w:val="000000"/>
          <w:szCs w:val="23"/>
        </w:rPr>
      </w:pPr>
      <w:r>
        <w:rPr>
          <w:rFonts w:cs="Arial"/>
          <w:color w:val="000000"/>
          <w:szCs w:val="23"/>
        </w:rPr>
        <w:t xml:space="preserve">Nach Ablauf der Einwendungsfrist entscheidet die Genehmigungsbehörde, ob ein Erörterungstermin durchgeführt wird, in dem dann die form- und fristgerecht erhobenen Einwendungen erörtert werden. Diese Entscheidung wird öffentlich bekannt gemacht. </w:t>
      </w:r>
    </w:p>
    <w:p>
      <w:pPr>
        <w:rPr>
          <w:rFonts w:cs="Arial"/>
          <w:color w:val="000000"/>
          <w:szCs w:val="23"/>
        </w:rPr>
      </w:pPr>
    </w:p>
    <w:p>
      <w:pPr>
        <w:rPr>
          <w:rFonts w:cs="Arial"/>
          <w:color w:val="000000"/>
          <w:szCs w:val="23"/>
        </w:rPr>
      </w:pPr>
      <w:r>
        <w:rPr>
          <w:rFonts w:cs="Arial"/>
          <w:color w:val="000000"/>
          <w:szCs w:val="23"/>
        </w:rPr>
        <w:t xml:space="preserve">Sofern ein </w:t>
      </w:r>
      <w:r>
        <w:rPr>
          <w:rFonts w:cs="Arial"/>
          <w:b/>
          <w:bCs/>
          <w:color w:val="000000"/>
          <w:szCs w:val="23"/>
        </w:rPr>
        <w:t>Erörterungstermin</w:t>
      </w:r>
      <w:r>
        <w:rPr>
          <w:rFonts w:cs="Arial"/>
          <w:color w:val="000000"/>
          <w:szCs w:val="23"/>
        </w:rPr>
        <w:t xml:space="preserve"> durchgeführt wird, findet dieser voraussichtlich </w:t>
      </w:r>
      <w:r>
        <w:rPr>
          <w:rFonts w:cs="Arial"/>
          <w:bCs/>
          <w:color w:val="000000"/>
          <w:szCs w:val="23"/>
        </w:rPr>
        <w:t>am</w:t>
      </w:r>
      <w:r>
        <w:rPr>
          <w:rFonts w:cs="Arial"/>
          <w:b/>
          <w:bCs/>
          <w:color w:val="000000"/>
          <w:szCs w:val="23"/>
        </w:rPr>
        <w:t xml:space="preserve"> </w:t>
      </w:r>
      <w:r>
        <w:rPr>
          <w:b/>
        </w:rPr>
        <w:t>15.12.2022,</w:t>
      </w:r>
      <w:r>
        <w:rPr>
          <w:rFonts w:cs="Arial"/>
          <w:b/>
          <w:bCs/>
          <w:color w:val="000000"/>
          <w:szCs w:val="23"/>
        </w:rPr>
        <w:t xml:space="preserve"> </w:t>
      </w:r>
      <w:r>
        <w:rPr>
          <w:b/>
        </w:rPr>
        <w:t xml:space="preserve">10:00 </w:t>
      </w:r>
      <w:r>
        <w:rPr>
          <w:rFonts w:cs="Arial"/>
          <w:b/>
          <w:bCs/>
          <w:color w:val="000000"/>
          <w:szCs w:val="23"/>
        </w:rPr>
        <w:t xml:space="preserve">Uhr </w:t>
      </w:r>
      <w:r>
        <w:rPr>
          <w:rFonts w:cs="Arial"/>
          <w:color w:val="000000"/>
          <w:szCs w:val="23"/>
        </w:rPr>
        <w:t xml:space="preserve">im </w:t>
      </w:r>
      <w:r>
        <w:rPr>
          <w:rFonts w:cs="Arial"/>
          <w:b/>
          <w:bCs/>
          <w:color w:val="000000"/>
          <w:szCs w:val="23"/>
        </w:rPr>
        <w:t>Kreishaus Unna</w:t>
      </w:r>
      <w:r>
        <w:rPr>
          <w:rFonts w:cs="Arial"/>
          <w:bCs/>
          <w:color w:val="000000"/>
          <w:szCs w:val="23"/>
        </w:rPr>
        <w:t xml:space="preserve">, Hubert-Biernat-Raum, </w:t>
      </w:r>
      <w:r>
        <w:rPr>
          <w:rFonts w:cs="Arial"/>
          <w:color w:val="000000"/>
          <w:szCs w:val="23"/>
        </w:rPr>
        <w:t xml:space="preserve">Raum </w:t>
      </w:r>
      <w:r>
        <w:t>C.1</w:t>
      </w:r>
      <w:bookmarkStart w:id="1" w:name="_GoBack"/>
      <w:bookmarkEnd w:id="1"/>
      <w:r>
        <w:t>01</w:t>
      </w:r>
      <w:r>
        <w:rPr>
          <w:rFonts w:cs="Arial"/>
          <w:color w:val="000000"/>
          <w:szCs w:val="23"/>
        </w:rPr>
        <w:t xml:space="preserve">, Friedrich-Ebert-Straße 17, 59425 Unna statt. </w:t>
      </w:r>
    </w:p>
    <w:p>
      <w:pPr>
        <w:pStyle w:val="Textkrper"/>
        <w:rPr>
          <w:rFonts w:cs="Arial"/>
          <w:color w:val="000000"/>
          <w:szCs w:val="23"/>
        </w:rPr>
      </w:pPr>
    </w:p>
    <w:p>
      <w:pPr>
        <w:pStyle w:val="Textkrper"/>
        <w:rPr>
          <w:rFonts w:cs="Arial"/>
          <w:color w:val="000000"/>
          <w:szCs w:val="23"/>
        </w:rPr>
      </w:pPr>
      <w:r>
        <w:rPr>
          <w:rFonts w:cs="Arial"/>
          <w:color w:val="000000"/>
          <w:szCs w:val="23"/>
        </w:rPr>
        <w:t xml:space="preserve">Der Erörterungstermin ist öffentlich. Das Recht, sich an der Erörterung zu beteiligen, haben jedoch neben den Vertretern der beteiligten Behörden und dem Antragsteller und dessen Beauftragten nur diejenigen, die rechtzeitig Einwendungen erhoben haben. Zur Feststellung der Identität sind Ausweispapiere beim Erörterungstermin bereitzuhalten. Vertreter von </w:t>
      </w:r>
      <w:proofErr w:type="spellStart"/>
      <w:r>
        <w:rPr>
          <w:rFonts w:cs="Arial"/>
          <w:color w:val="000000"/>
          <w:szCs w:val="23"/>
        </w:rPr>
        <w:t>Einwendern</w:t>
      </w:r>
      <w:proofErr w:type="spellEnd"/>
      <w:r>
        <w:rPr>
          <w:rFonts w:cs="Arial"/>
          <w:color w:val="000000"/>
          <w:szCs w:val="23"/>
        </w:rPr>
        <w:t xml:space="preserve"> haben eine schriftliche Vollmacht vorzulegen. Besondere Einladungen zum Erörterungstermin ergehen nicht. </w:t>
      </w:r>
    </w:p>
    <w:p>
      <w:pPr>
        <w:rPr>
          <w:rFonts w:cs="Arial"/>
          <w:color w:val="000000"/>
          <w:szCs w:val="23"/>
        </w:rPr>
      </w:pPr>
      <w:r>
        <w:rPr>
          <w:rFonts w:cs="Arial"/>
          <w:color w:val="000000"/>
          <w:szCs w:val="23"/>
        </w:rPr>
        <w:lastRenderedPageBreak/>
        <w:t xml:space="preserve">Ausdrücklich wird darauf aufmerksam gemacht, dass die erhobenen Einwendungen auch bei Ausbleiben des Antragstellers oder bei Ausbleiben von Personen, die Einwendungen erhoben haben, erörtert werden. </w:t>
      </w:r>
    </w:p>
    <w:p>
      <w:pPr>
        <w:rPr>
          <w:rFonts w:cs="Arial"/>
          <w:color w:val="000000"/>
          <w:szCs w:val="23"/>
        </w:rPr>
      </w:pPr>
    </w:p>
    <w:p>
      <w:pPr>
        <w:rPr>
          <w:rFonts w:cs="Arial"/>
          <w:color w:val="000000"/>
          <w:szCs w:val="23"/>
        </w:rPr>
      </w:pPr>
      <w:r>
        <w:rPr>
          <w:rFonts w:cs="Arial"/>
          <w:color w:val="000000"/>
          <w:szCs w:val="23"/>
        </w:rPr>
        <w:t>Der Erörterungstermin kann auch durch eine Online-Konsultation ersetzt werden.</w:t>
      </w:r>
    </w:p>
    <w:p>
      <w:pPr>
        <w:rPr>
          <w:rFonts w:cs="Arial"/>
          <w:color w:val="000000"/>
          <w:szCs w:val="23"/>
        </w:rPr>
      </w:pPr>
    </w:p>
    <w:p>
      <w:pPr>
        <w:pStyle w:val="Text"/>
        <w:rPr>
          <w:rFonts w:cs="Arial"/>
          <w:color w:val="000000"/>
          <w:szCs w:val="23"/>
        </w:rPr>
      </w:pPr>
      <w:r>
        <w:rPr>
          <w:rFonts w:cs="Arial"/>
          <w:color w:val="000000"/>
          <w:szCs w:val="23"/>
        </w:rPr>
        <w:t>Die Entscheidung über den Antrag wird öffentlich bekannt gemacht. Die Zustellung der Entscheidung über das Vorhaben an die Personen, die Einwendungen erhoben haben, kann durch öffentliche Bekanntmachung ersetzt werden.</w:t>
      </w:r>
    </w:p>
    <w:p>
      <w:pPr>
        <w:pStyle w:val="Text"/>
      </w:pPr>
    </w:p>
    <w:p>
      <w:pPr>
        <w:pStyle w:val="Text"/>
      </w:pPr>
      <w:r>
        <w:t>Auf die für die Beteiligung der Öffentlichkeit maßgeblichen Vorschriften im Bundes-Immissionsschutzgesetz und in der 9. Verordnung zur Durchführung des Bundes-Immissionsschutzgesetzes – (Verordnung über das Genehmigungsverfahren – 9. BImSchV) (Insbesondere § 10 BImSchG, §§ 8 ff der 9. BImSchV) wird hingewiesen.</w:t>
      </w:r>
    </w:p>
    <w:p>
      <w:pPr>
        <w:pStyle w:val="Text"/>
      </w:pPr>
    </w:p>
    <w:p>
      <w:pPr>
        <w:pStyle w:val="Text"/>
      </w:pPr>
    </w:p>
    <w:p>
      <w:pPr>
        <w:pStyle w:val="Text"/>
      </w:pPr>
      <w:r>
        <w:t>Kreis Unna</w:t>
      </w:r>
    </w:p>
    <w:p>
      <w:pPr>
        <w:pStyle w:val="Text"/>
      </w:pPr>
      <w:r>
        <w:t>Der Landrat</w:t>
      </w:r>
    </w:p>
    <w:p>
      <w:pPr>
        <w:rPr>
          <w:rFonts w:cs="Arial"/>
          <w:color w:val="000000"/>
          <w:szCs w:val="23"/>
        </w:rPr>
      </w:pPr>
      <w:r>
        <w:rPr>
          <w:rFonts w:cs="Arial"/>
          <w:color w:val="000000"/>
          <w:szCs w:val="23"/>
        </w:rPr>
        <w:t>Fachbereich Natur und Umwelt</w:t>
      </w:r>
    </w:p>
    <w:p>
      <w:pPr>
        <w:rPr>
          <w:rFonts w:cs="Arial"/>
          <w:color w:val="000000"/>
          <w:szCs w:val="23"/>
        </w:rPr>
      </w:pPr>
    </w:p>
    <w:p>
      <w:pPr>
        <w:rPr>
          <w:rFonts w:cs="Arial"/>
          <w:color w:val="000000"/>
          <w:szCs w:val="23"/>
        </w:rPr>
      </w:pPr>
      <w:r>
        <w:rPr>
          <w:rFonts w:cs="Arial"/>
          <w:color w:val="000000"/>
          <w:szCs w:val="23"/>
        </w:rPr>
        <w:t xml:space="preserve">Im Auftrag </w:t>
      </w:r>
    </w:p>
    <w:p>
      <w:pPr>
        <w:pStyle w:val="Text"/>
      </w:pPr>
    </w:p>
    <w:p>
      <w:pPr>
        <w:pStyle w:val="Text"/>
      </w:pPr>
      <w:r>
        <w:rPr>
          <w:rFonts w:cs="Arial"/>
          <w:color w:val="000000"/>
          <w:szCs w:val="23"/>
        </w:rPr>
        <w:t>Peter Driesch</w:t>
      </w:r>
    </w:p>
    <w:sectPr>
      <w:headerReference w:type="default" r:id="rId12"/>
      <w:type w:val="continuous"/>
      <w:pgSz w:w="11906" w:h="16838" w:code="9"/>
      <w:pgMar w:top="1418" w:right="1134" w:bottom="992"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center"/>
    </w:pPr>
    <w:r>
      <w:rPr>
        <w:snapToGrid w:val="0"/>
      </w:rPr>
      <w:fldChar w:fldCharType="begin"/>
    </w:r>
    <w:r>
      <w:rPr>
        <w:snapToGrid w:val="0"/>
      </w:rPr>
      <w:instrText xml:space="preserve"> FILENAME </w:instrText>
    </w:r>
    <w:r>
      <w:rPr>
        <w:snapToGrid w:val="0"/>
      </w:rPr>
      <w:fldChar w:fldCharType="separate"/>
    </w:r>
    <w:r>
      <w:rPr>
        <w:noProof/>
        <w:snapToGrid w:val="0"/>
      </w:rPr>
      <w:t>Bekanntmachungstext neu</w:t>
    </w:r>
    <w:r>
      <w:rPr>
        <w:snapToGrid w:val="0"/>
      </w:rPr>
      <w:fldChar w:fldCharType="end"/>
    </w:r>
    <w:r>
      <w:rPr>
        <w:snapToGrid w:val="0"/>
      </w:rPr>
      <w:sym w:font="Webdings" w:char="F07C"/>
    </w: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center"/>
    </w:pPr>
    <w:r>
      <w:rPr>
        <w:snapToGrid w:val="0"/>
      </w:rPr>
      <w:fldChar w:fldCharType="begin"/>
    </w:r>
    <w:r>
      <w:rPr>
        <w:snapToGrid w:val="0"/>
      </w:rPr>
      <w:instrText xml:space="preserve"> FILENAME </w:instrText>
    </w:r>
    <w:r>
      <w:rPr>
        <w:snapToGrid w:val="0"/>
      </w:rPr>
      <w:fldChar w:fldCharType="separate"/>
    </w:r>
    <w:r>
      <w:rPr>
        <w:noProof/>
        <w:snapToGrid w:val="0"/>
      </w:rPr>
      <w:t>Bekanntmachungstext neu</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sz w:val="20"/>
      </w:rPr>
      <w:drawing>
        <wp:anchor distT="0" distB="0" distL="114300" distR="114300" simplePos="0" relativeHeight="251657728" behindDoc="1" locked="0" layoutInCell="0" allowOverlap="1">
          <wp:simplePos x="0" y="0"/>
          <wp:positionH relativeFrom="column">
            <wp:posOffset>5112385</wp:posOffset>
          </wp:positionH>
          <wp:positionV relativeFrom="paragraph">
            <wp:posOffset>0</wp:posOffset>
          </wp:positionV>
          <wp:extent cx="864235" cy="743585"/>
          <wp:effectExtent l="0" t="0" r="0" b="0"/>
          <wp:wrapNone/>
          <wp:docPr id="7" name="Bild 7" descr="kre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ei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3FD"/>
    <w:multiLevelType w:val="hybridMultilevel"/>
    <w:tmpl w:val="505421A0"/>
    <w:lvl w:ilvl="0" w:tplc="E23EFEB6">
      <w:start w:val="1"/>
      <w:numFmt w:val="decimal"/>
      <w:pStyle w:val="Aufzhlung"/>
      <w:lvlText w:val="%1."/>
      <w:lvlJc w:val="left"/>
      <w:pPr>
        <w:tabs>
          <w:tab w:val="num" w:pos="425"/>
        </w:tabs>
        <w:ind w:left="425" w:hanging="425"/>
      </w:pPr>
      <w:rPr>
        <w:rFonts w:ascii="Arial" w:hAnsi="Arial" w:hint="default"/>
        <w:b w:val="0"/>
        <w:i w:val="0"/>
        <w:color w:val="auto"/>
        <w:sz w:val="20"/>
      </w:rPr>
    </w:lvl>
    <w:lvl w:ilvl="1" w:tplc="36D88052" w:tentative="1">
      <w:start w:val="1"/>
      <w:numFmt w:val="lowerLetter"/>
      <w:lvlText w:val="%2."/>
      <w:lvlJc w:val="left"/>
      <w:pPr>
        <w:tabs>
          <w:tab w:val="num" w:pos="1440"/>
        </w:tabs>
        <w:ind w:left="1440" w:hanging="360"/>
      </w:pPr>
    </w:lvl>
    <w:lvl w:ilvl="2" w:tplc="6F963CBA" w:tentative="1">
      <w:start w:val="1"/>
      <w:numFmt w:val="lowerRoman"/>
      <w:lvlText w:val="%3."/>
      <w:lvlJc w:val="right"/>
      <w:pPr>
        <w:tabs>
          <w:tab w:val="num" w:pos="2160"/>
        </w:tabs>
        <w:ind w:left="2160" w:hanging="180"/>
      </w:pPr>
    </w:lvl>
    <w:lvl w:ilvl="3" w:tplc="39B42BBE" w:tentative="1">
      <w:start w:val="1"/>
      <w:numFmt w:val="decimal"/>
      <w:lvlText w:val="%4."/>
      <w:lvlJc w:val="left"/>
      <w:pPr>
        <w:tabs>
          <w:tab w:val="num" w:pos="2880"/>
        </w:tabs>
        <w:ind w:left="2880" w:hanging="360"/>
      </w:pPr>
    </w:lvl>
    <w:lvl w:ilvl="4" w:tplc="7DAC9C82" w:tentative="1">
      <w:start w:val="1"/>
      <w:numFmt w:val="lowerLetter"/>
      <w:lvlText w:val="%5."/>
      <w:lvlJc w:val="left"/>
      <w:pPr>
        <w:tabs>
          <w:tab w:val="num" w:pos="3600"/>
        </w:tabs>
        <w:ind w:left="3600" w:hanging="360"/>
      </w:pPr>
    </w:lvl>
    <w:lvl w:ilvl="5" w:tplc="9E222076" w:tentative="1">
      <w:start w:val="1"/>
      <w:numFmt w:val="lowerRoman"/>
      <w:lvlText w:val="%6."/>
      <w:lvlJc w:val="right"/>
      <w:pPr>
        <w:tabs>
          <w:tab w:val="num" w:pos="4320"/>
        </w:tabs>
        <w:ind w:left="4320" w:hanging="180"/>
      </w:pPr>
    </w:lvl>
    <w:lvl w:ilvl="6" w:tplc="B8E6EA1A" w:tentative="1">
      <w:start w:val="1"/>
      <w:numFmt w:val="decimal"/>
      <w:lvlText w:val="%7."/>
      <w:lvlJc w:val="left"/>
      <w:pPr>
        <w:tabs>
          <w:tab w:val="num" w:pos="5040"/>
        </w:tabs>
        <w:ind w:left="5040" w:hanging="360"/>
      </w:pPr>
    </w:lvl>
    <w:lvl w:ilvl="7" w:tplc="6D20F6D8" w:tentative="1">
      <w:start w:val="1"/>
      <w:numFmt w:val="lowerLetter"/>
      <w:lvlText w:val="%8."/>
      <w:lvlJc w:val="left"/>
      <w:pPr>
        <w:tabs>
          <w:tab w:val="num" w:pos="5760"/>
        </w:tabs>
        <w:ind w:left="5760" w:hanging="360"/>
      </w:pPr>
    </w:lvl>
    <w:lvl w:ilvl="8" w:tplc="734A3AD6" w:tentative="1">
      <w:start w:val="1"/>
      <w:numFmt w:val="lowerRoman"/>
      <w:lvlText w:val="%9."/>
      <w:lvlJc w:val="right"/>
      <w:pPr>
        <w:tabs>
          <w:tab w:val="num" w:pos="6480"/>
        </w:tabs>
        <w:ind w:left="6480" w:hanging="180"/>
      </w:pPr>
    </w:lvl>
  </w:abstractNum>
  <w:abstractNum w:abstractNumId="1" w15:restartNumberingAfterBreak="0">
    <w:nsid w:val="2F382EFD"/>
    <w:multiLevelType w:val="hybridMultilevel"/>
    <w:tmpl w:val="D264E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42489F"/>
    <w:multiLevelType w:val="singleLevel"/>
    <w:tmpl w:val="69EE4E2C"/>
    <w:lvl w:ilvl="0">
      <w:numFmt w:val="bullet"/>
      <w:lvlText w:val="-"/>
      <w:lvlJc w:val="left"/>
      <w:pPr>
        <w:tabs>
          <w:tab w:val="num" w:pos="360"/>
        </w:tabs>
        <w:ind w:left="360" w:hanging="360"/>
      </w:pPr>
      <w:rPr>
        <w:rFonts w:hint="default"/>
      </w:rPr>
    </w:lvl>
  </w:abstractNum>
  <w:abstractNum w:abstractNumId="3" w15:restartNumberingAfterBreak="0">
    <w:nsid w:val="565C4611"/>
    <w:multiLevelType w:val="hybridMultilevel"/>
    <w:tmpl w:val="839EE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3B3F045-D71E-465E-8245-4BBE9BA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300" w:lineRule="exact"/>
      <w:jc w:val="both"/>
    </w:pPr>
    <w:rPr>
      <w:rFonts w:ascii="Arial" w:hAnsi="Arial"/>
    </w:rPr>
  </w:style>
  <w:style w:type="paragraph" w:styleId="berschrift1">
    <w:name w:val="heading 1"/>
    <w:basedOn w:val="Standard"/>
    <w:next w:val="Text"/>
    <w:qFormat/>
    <w:pPr>
      <w:keepNext/>
      <w:spacing w:before="240" w:after="60"/>
      <w:outlineLvl w:val="0"/>
    </w:pPr>
    <w:rPr>
      <w:b/>
      <w:kern w:val="28"/>
    </w:rPr>
  </w:style>
  <w:style w:type="paragraph" w:styleId="berschrift2">
    <w:name w:val="heading 2"/>
    <w:basedOn w:val="Standard"/>
    <w:next w:val="Text"/>
    <w:qFormat/>
    <w:pPr>
      <w:keepNext/>
      <w:spacing w:before="240" w:after="60"/>
      <w:outlineLvl w:val="1"/>
    </w:pPr>
    <w:rPr>
      <w:b/>
    </w:rPr>
  </w:style>
  <w:style w:type="paragraph" w:styleId="berschrift3">
    <w:name w:val="heading 3"/>
    <w:basedOn w:val="Standard"/>
    <w:next w:val="Text"/>
    <w:qFormat/>
    <w:pPr>
      <w:keepNext/>
      <w:spacing w:before="240" w:after="60"/>
      <w:outlineLvl w:val="2"/>
    </w:pPr>
    <w:rPr>
      <w:b/>
    </w:rPr>
  </w:style>
  <w:style w:type="paragraph" w:styleId="berschrift4">
    <w:name w:val="heading 4"/>
    <w:basedOn w:val="Standard"/>
    <w:next w:val="Text"/>
    <w:qFormat/>
    <w:pPr>
      <w:keepNext/>
      <w:spacing w:before="240" w:after="60"/>
      <w:outlineLvl w:val="3"/>
    </w:pPr>
    <w:rPr>
      <w:b/>
      <w:sz w:val="24"/>
    </w:rPr>
  </w:style>
  <w:style w:type="paragraph" w:styleId="berschrift5">
    <w:name w:val="heading 5"/>
    <w:basedOn w:val="Standard"/>
    <w:next w:val="Text"/>
    <w:qFormat/>
    <w:pPr>
      <w:spacing w:before="240" w:after="60"/>
      <w:outlineLvl w:val="4"/>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right" w:pos="9072"/>
      </w:tabs>
      <w:jc w:val="right"/>
    </w:pPr>
    <w:rPr>
      <w:rFonts w:ascii="Arial Narrow" w:hAnsi="Arial Narrow"/>
      <w:sz w:val="16"/>
    </w:rPr>
  </w:style>
  <w:style w:type="paragraph" w:styleId="Kopfzeile">
    <w:name w:val="header"/>
    <w:basedOn w:val="Standard"/>
    <w:semiHidden/>
    <w:pPr>
      <w:tabs>
        <w:tab w:val="center" w:pos="4536"/>
        <w:tab w:val="right" w:pos="9072"/>
      </w:tabs>
    </w:pPr>
    <w:rPr>
      <w:rFonts w:ascii="Arial Narrow" w:hAnsi="Arial Narrow"/>
      <w:sz w:val="16"/>
    </w:rPr>
  </w:style>
  <w:style w:type="paragraph" w:customStyle="1" w:styleId="Text">
    <w:name w:val="Text"/>
    <w:basedOn w:val="NurText"/>
  </w:style>
  <w:style w:type="paragraph" w:styleId="NurText">
    <w:name w:val="Plain Text"/>
    <w:basedOn w:val="Standard"/>
    <w:semiHidden/>
  </w:style>
  <w:style w:type="paragraph" w:customStyle="1" w:styleId="Aufzhlung">
    <w:name w:val="Aufzählung"/>
    <w:aliases w:val="Nummerierung"/>
    <w:basedOn w:val="Standard"/>
    <w:pPr>
      <w:numPr>
        <w:numId w:val="2"/>
      </w:numPr>
      <w:jc w:val="left"/>
    </w:pPr>
  </w:style>
  <w:style w:type="paragraph" w:customStyle="1" w:styleId="InfoText">
    <w:name w:val="InfoText"/>
    <w:basedOn w:val="Standard"/>
    <w:pPr>
      <w:tabs>
        <w:tab w:val="left" w:pos="425"/>
      </w:tabs>
      <w:spacing w:line="240" w:lineRule="exact"/>
    </w:pPr>
    <w:rPr>
      <w:sz w:val="16"/>
      <w:szCs w:val="24"/>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semiHidden/>
    <w:rPr>
      <w:rFonts w:cs="Arial"/>
      <w:color w:val="000000"/>
      <w:sz w:val="22"/>
      <w:szCs w:val="23"/>
    </w:rPr>
  </w:style>
  <w:style w:type="character" w:customStyle="1" w:styleId="Textkrper3Zchn">
    <w:name w:val="Textkörper 3 Zchn"/>
    <w:basedOn w:val="Absatz-Standardschriftart"/>
    <w:link w:val="Textkrper3"/>
    <w:semiHidden/>
    <w:rPr>
      <w:rFonts w:ascii="Arial" w:hAnsi="Arial" w:cs="Arial"/>
      <w:color w:val="000000"/>
      <w:sz w:val="22"/>
      <w:szCs w:val="23"/>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u w:val="single"/>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rPr>
      <w:rFonts w:ascii="Arial" w:hAnsi="Arial"/>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5627">
      <w:bodyDiv w:val="1"/>
      <w:marLeft w:val="0"/>
      <w:marRight w:val="0"/>
      <w:marTop w:val="0"/>
      <w:marBottom w:val="0"/>
      <w:divBdr>
        <w:top w:val="none" w:sz="0" w:space="0" w:color="auto"/>
        <w:left w:val="none" w:sz="0" w:space="0" w:color="auto"/>
        <w:bottom w:val="none" w:sz="0" w:space="0" w:color="auto"/>
        <w:right w:val="none" w:sz="0" w:space="0" w:color="auto"/>
      </w:divBdr>
    </w:div>
    <w:div w:id="11438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b69@kreis-unna.de" TargetMode="External"/><Relationship Id="rId5" Type="http://schemas.openxmlformats.org/officeDocument/2006/relationships/footnotes" Target="footnotes.xml"/><Relationship Id="rId10" Type="http://schemas.openxmlformats.org/officeDocument/2006/relationships/hyperlink" Target="https://cloud.kreis-unna.de/index.php/s/684sdsHefQPodgw"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Generell\Leere%20Seite%20m.%20Logo.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Leere Seite m. Logo</Template>
  <TotalTime>0</TotalTime>
  <Pages>3</Pages>
  <Words>853</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6712</CharactersWithSpaces>
  <SharedDoc>false</SharedDoc>
  <HLinks>
    <vt:vector size="6" baseType="variant">
      <vt:variant>
        <vt:i4>3539062</vt:i4>
      </vt:variant>
      <vt:variant>
        <vt:i4>-1</vt:i4>
      </vt:variant>
      <vt:variant>
        <vt:i4>2055</vt:i4>
      </vt:variant>
      <vt:variant>
        <vt:i4>1</vt:i4>
      </vt:variant>
      <vt:variant>
        <vt:lpwstr>kreis-logo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Rickert, Gerald</dc:creator>
  <cp:keywords/>
  <dc:description/>
  <cp:lastModifiedBy>Rickert, Gerald</cp:lastModifiedBy>
  <cp:revision>5</cp:revision>
  <cp:lastPrinted>2022-07-15T09:30:00Z</cp:lastPrinted>
  <dcterms:created xsi:type="dcterms:W3CDTF">2022-09-21T10:09:00Z</dcterms:created>
  <dcterms:modified xsi:type="dcterms:W3CDTF">2022-09-22T06:47:00Z</dcterms:modified>
  <cp:category>06.2022</cp:category>
</cp:coreProperties>
</file>