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szCs w:val="24"/>
        </w:rPr>
      </w:pPr>
      <w:r>
        <w:rPr>
          <w:szCs w:val="24"/>
        </w:rPr>
        <w:t>Köln, den 13.01.2022</w:t>
      </w:r>
    </w:p>
    <w:p>
      <w:pPr>
        <w:spacing w:after="0"/>
        <w:rPr>
          <w:szCs w:val="24"/>
        </w:rPr>
      </w:pPr>
    </w:p>
    <w:p>
      <w:pPr>
        <w:spacing w:after="0"/>
      </w:pPr>
      <w:r>
        <w:rPr>
          <w:szCs w:val="24"/>
        </w:rPr>
        <w:t> </w:t>
      </w:r>
    </w:p>
    <w:p>
      <w:pPr>
        <w:keepNext/>
        <w:spacing w:after="0"/>
        <w:jc w:val="center"/>
        <w:outlineLvl w:val="0"/>
        <w:rPr>
          <w:rFonts w:eastAsia="Arial Unicode MS"/>
          <w:b/>
          <w:u w:val="single"/>
        </w:rPr>
      </w:pPr>
      <w:r>
        <w:rPr>
          <w:rFonts w:eastAsia="Arial Unicode MS"/>
          <w:b/>
          <w:u w:val="single"/>
        </w:rPr>
        <w:t>Bekanntmachung</w:t>
      </w:r>
    </w:p>
    <w:p>
      <w:pPr>
        <w:keepNext/>
        <w:spacing w:after="0"/>
        <w:outlineLvl w:val="0"/>
        <w:rPr>
          <w:rFonts w:eastAsia="Arial Unicode MS"/>
          <w:b/>
          <w:u w:val="single"/>
        </w:rPr>
      </w:pPr>
    </w:p>
    <w:p>
      <w:pPr>
        <w:pStyle w:val="VfgPunktff"/>
        <w:jc w:val="both"/>
      </w:pPr>
    </w:p>
    <w:p>
      <w:pPr>
        <w:pStyle w:val="VfgPunktff"/>
        <w:jc w:val="both"/>
      </w:pPr>
      <w:r>
        <w:rPr>
          <w:b/>
        </w:rPr>
        <w:t>Planfeststellung für den 6-streifigen Ausbau der A 565 zwischen der Anschlussstelle Bonn-Endenich und dem Autobahnkreuz Bonn-Nord in Bonn, 1. Deckblattverfahren</w:t>
      </w:r>
    </w:p>
    <w:p>
      <w:pPr>
        <w:pStyle w:val="VfgPunktff"/>
        <w:jc w:val="both"/>
      </w:pPr>
    </w:p>
    <w:p>
      <w:pPr>
        <w:pStyle w:val="VfgPunktff"/>
        <w:jc w:val="both"/>
      </w:pPr>
      <w:r>
        <w:t>Im Auftrag der Bundesrepublik Deutschland beabsichtigt die Autobahn GmbH des Bundes, Niederlassung Rheinland, Außenstelle Euskirchen, den 6-streifigen Ausbau der A 565 zwischen der Anschlussstelle Bonn-Endenich und dem Autobahnkreuz Bonn-Nord von Bau - km 10+ 108 bis Bau – km 11+ 900 einschließlich Brückenneubauten und Stütz- und Lärmschutzwänden sowie Entwässerungseinrichtungen in der Gemarkung Bonn-Endenich.</w:t>
      </w:r>
    </w:p>
    <w:p>
      <w:pPr>
        <w:pStyle w:val="VfgPunktff"/>
        <w:jc w:val="both"/>
      </w:pPr>
      <w:r>
        <w:t>Zur Erlangung des Baurechts für diese Maßnahme hatte der Landesbetrieb Straßenbau NRW (jetzt zuständig: die Autobahn GmbH des Bundes) bei der Bezirksregierung Köln (Anhörungsbehörde) die Durchführung des Planfeststellungsverfahrens nach § 17a Bundesfernstraßengesetz (FStrG) in Verbindung mit § 73 Verwaltungsverfahrensgesetz (VwVfG NRW) beantragt.</w:t>
      </w:r>
    </w:p>
    <w:p>
      <w:pPr>
        <w:pStyle w:val="VfgPunktff"/>
        <w:jc w:val="both"/>
      </w:pPr>
      <w:r>
        <w:t>Für das Vorhaben besteht eine Verpflichtung zur Durchführung einer Umweltverträglichkeitsprüfung gemäß § 3a des Gesetzes über die Umweltverträglichkeitsprüfung (UVPG).</w:t>
      </w:r>
    </w:p>
    <w:p>
      <w:pPr>
        <w:pStyle w:val="VfgPunktff"/>
        <w:jc w:val="both"/>
      </w:pPr>
      <w:r>
        <w:t>Das für das Bauvorhaben durchzuführende Planfeststellungsverfahren wurde am 10.09.2020 eingeleitet. Die abgegebenen Stellungnahmen der Träger öffentlicher Belange sowie die Einwendungen der betroffenen Privaten zu den 2020 offen gelegten Planunterlagen haben dazu geführt, dass die Ausgangsplanung von der Autobahn GmbH des Bundes überarbeitet bzw. ergänzt worden ist. Die Planänderung (1. Deckblatt) umfasst insbesondere:</w:t>
      </w:r>
    </w:p>
    <w:p>
      <w:pPr>
        <w:pStyle w:val="VfgPunktff"/>
        <w:numPr>
          <w:ilvl w:val="0"/>
          <w:numId w:val="5"/>
        </w:numPr>
        <w:jc w:val="both"/>
      </w:pPr>
      <w:r>
        <w:tab/>
        <w:t>einen Erläuterungsbericht</w:t>
      </w:r>
    </w:p>
    <w:p>
      <w:pPr>
        <w:pStyle w:val="VfgPunktff"/>
        <w:numPr>
          <w:ilvl w:val="0"/>
          <w:numId w:val="5"/>
        </w:numPr>
        <w:jc w:val="both"/>
      </w:pPr>
      <w:r>
        <w:tab/>
        <w:t>einen UVP – Bericht (Bericht zu den voraussichtlichen Umweltauswirkungen des Vorhabens)</w:t>
      </w:r>
    </w:p>
    <w:p>
      <w:pPr>
        <w:pStyle w:val="VfgPunktff"/>
        <w:numPr>
          <w:ilvl w:val="0"/>
          <w:numId w:val="5"/>
        </w:numPr>
        <w:jc w:val="both"/>
      </w:pPr>
      <w:r>
        <w:t xml:space="preserve">    eine Erläuterung zum landschaftspflegerischen Begleitplan</w:t>
      </w:r>
    </w:p>
    <w:p>
      <w:pPr>
        <w:pStyle w:val="VfgPunktff"/>
        <w:numPr>
          <w:ilvl w:val="0"/>
          <w:numId w:val="5"/>
        </w:numPr>
        <w:jc w:val="both"/>
      </w:pPr>
      <w:r>
        <w:t xml:space="preserve"> </w:t>
      </w:r>
      <w:r>
        <w:tab/>
        <w:t>ein klimatisches Gutachten</w:t>
      </w:r>
    </w:p>
    <w:p>
      <w:pPr>
        <w:ind w:left="425"/>
        <w:jc w:val="both"/>
      </w:pPr>
    </w:p>
    <w:p>
      <w:pPr>
        <w:pStyle w:val="VfgPunktff"/>
        <w:jc w:val="both"/>
        <w:rPr>
          <w:b/>
        </w:rPr>
      </w:pPr>
      <w:r>
        <w:rPr>
          <w:b/>
        </w:rPr>
        <w:t>Die entsprechenden Unterlagen standen der Öffentlichkeit bereits vom 12.09.2022 bis zum 11.10.2022 zur Verfügung. Die erneute Bekanntmachung ist aufgrund eines redaktionellen Fehlers erforderlich.</w:t>
      </w:r>
    </w:p>
    <w:p>
      <w:pPr>
        <w:pStyle w:val="VfgPunktff"/>
        <w:jc w:val="both"/>
        <w:rPr>
          <w:b/>
        </w:rPr>
      </w:pPr>
      <w:r>
        <w:rPr>
          <w:b/>
        </w:rPr>
        <w:t>Es wird darauf hingewiesen, dass die bislang in diesem Verfahren vorgebrachten Einwendungen vollumfänglich Berücksichtigung finden und nicht erneut vorgelegt werden müssen.</w:t>
      </w:r>
    </w:p>
    <w:p>
      <w:pPr>
        <w:pStyle w:val="VfgPunktff"/>
        <w:ind w:left="0"/>
        <w:jc w:val="both"/>
      </w:pPr>
    </w:p>
    <w:p>
      <w:pPr>
        <w:ind w:left="425"/>
        <w:jc w:val="both"/>
      </w:pPr>
      <w:r>
        <w:t>In Anbetracht der aktuellen COVID-19-Pandemie und der damit verbundenen Kontaktbeschränkungen erfolgt die Beteiligung der Öffentlichkeit durch Veröffentlichung der Planänderungsunterlagen im Internet (§ 3 Abs. 1 Satz 1 PlanSiG). Die Planänderungsunterlagen stehen in der Zeit</w:t>
      </w:r>
    </w:p>
    <w:p>
      <w:pPr>
        <w:ind w:left="1416" w:firstLine="708"/>
        <w:jc w:val="both"/>
        <w:rPr>
          <w:b/>
        </w:rPr>
      </w:pPr>
      <w:r>
        <w:t xml:space="preserve">vom </w:t>
      </w:r>
      <w:r>
        <w:rPr>
          <w:b/>
        </w:rPr>
        <w:t>30.01.2023 bis einschließlich 01.03.2023</w:t>
      </w:r>
    </w:p>
    <w:p>
      <w:pPr>
        <w:ind w:left="1416" w:firstLine="708"/>
        <w:jc w:val="both"/>
        <w:rPr>
          <w:b/>
        </w:rPr>
      </w:pPr>
      <w:r>
        <w:rPr>
          <w:b/>
        </w:rPr>
        <w:lastRenderedPageBreak/>
        <w:t xml:space="preserve"> </w:t>
      </w:r>
    </w:p>
    <w:p>
      <w:pPr>
        <w:jc w:val="both"/>
      </w:pPr>
      <w:r>
        <w:t xml:space="preserve">auf der Internetseite der Bezirksregierung Köln unter </w:t>
      </w:r>
      <w:hyperlink r:id="rId7" w:history="1">
        <w:r>
          <w:rPr>
            <w:rStyle w:val="Hyperlink"/>
          </w:rPr>
          <w:t>https://url.nrw/planfeststellung_strassen</w:t>
        </w:r>
      </w:hyperlink>
    </w:p>
    <w:p>
      <w:pPr>
        <w:jc w:val="both"/>
      </w:pPr>
      <w:r>
        <w:t>zur Verfügung.</w:t>
      </w:r>
    </w:p>
    <w:p>
      <w:pPr>
        <w:pStyle w:val="VfgPunktff"/>
        <w:jc w:val="both"/>
      </w:pPr>
      <w:r>
        <w:t xml:space="preserve">Der Inhalt dieser Bekanntmachung und der vorgenannten, nach § 19 Abs. 2 UVPG auszulegenden Unterlagen ist zusätzlich über das zentrale Internetportal </w:t>
      </w:r>
      <w:hyperlink r:id="rId8" w:history="1">
        <w:r>
          <w:rPr>
            <w:rStyle w:val="Hyperlink"/>
          </w:rPr>
          <w:t>https://uvp-verbund.de/portal/</w:t>
        </w:r>
      </w:hyperlink>
      <w:r>
        <w:t xml:space="preserve">  zugänglich (§ 20 UVPG). Maßgeblich ist der Inhalt der im Internet zur Verfügung gestellten Unterlagen.</w:t>
      </w:r>
    </w:p>
    <w:p>
      <w:pPr>
        <w:pStyle w:val="VfgPunktff"/>
        <w:jc w:val="both"/>
      </w:pPr>
    </w:p>
    <w:p>
      <w:pPr>
        <w:spacing w:after="0"/>
        <w:ind w:left="643"/>
        <w:jc w:val="both"/>
        <w:rPr>
          <w:szCs w:val="22"/>
        </w:rPr>
      </w:pPr>
      <w:r>
        <w:rPr>
          <w:szCs w:val="22"/>
        </w:rPr>
        <w:t xml:space="preserve">Als zusätzliches Informationsangebot hat die Bezirksregierung Köln eine Papierfassung der Planunterlagen zur Verfügung gestellt, die im Bedarfsfall bei der Stadt Bonn eingesehen werden kann (§ 3 Abs. 2 Satz 1 PlanSiG). Die öffentliche Auslegung des geänderten Planes (Zeichnungen und Erläuterungen) erfolgt im </w:t>
      </w:r>
      <w:r>
        <w:rPr>
          <w:bCs/>
          <w:szCs w:val="22"/>
        </w:rPr>
        <w:t>Amt für Bodenmanagement und Geoinformation</w:t>
      </w:r>
      <w:r>
        <w:rPr>
          <w:szCs w:val="22"/>
        </w:rPr>
        <w:t xml:space="preserve">, Bonn, Stadthaus, Berliner Platz 2, Aufzug 2, Etage 6B (Kundenzentrum Geodaten) vom </w:t>
      </w:r>
      <w:r>
        <w:rPr>
          <w:bCs/>
          <w:szCs w:val="22"/>
        </w:rPr>
        <w:t xml:space="preserve">30.01.2023 </w:t>
      </w:r>
      <w:r>
        <w:rPr>
          <w:szCs w:val="22"/>
        </w:rPr>
        <w:t xml:space="preserve">bis einschließlich </w:t>
      </w:r>
      <w:r>
        <w:rPr>
          <w:bCs/>
          <w:szCs w:val="22"/>
        </w:rPr>
        <w:t xml:space="preserve">01.03.2022 </w:t>
      </w:r>
      <w:r>
        <w:rPr>
          <w:szCs w:val="22"/>
        </w:rPr>
        <w:t xml:space="preserve">(Montag, Dienstag, Mittwoch und Freitag von 8 bis 13 Uhr und Donnerstag von 8 Uhr bis 18 Uhr) </w:t>
      </w:r>
    </w:p>
    <w:p>
      <w:pPr>
        <w:spacing w:after="0"/>
        <w:ind w:left="643"/>
        <w:jc w:val="both"/>
        <w:rPr>
          <w:szCs w:val="22"/>
        </w:rPr>
      </w:pPr>
      <w:r>
        <w:rPr>
          <w:bCs/>
          <w:szCs w:val="22"/>
        </w:rPr>
        <w:t xml:space="preserve">Hinweis: Das Kundenzentrum Geodaten ist für Sie geöffnet. Aufgrund der Corona </w:t>
      </w:r>
    </w:p>
    <w:p>
      <w:pPr>
        <w:spacing w:after="0"/>
        <w:ind w:left="643"/>
        <w:jc w:val="both"/>
        <w:rPr>
          <w:szCs w:val="22"/>
        </w:rPr>
      </w:pPr>
      <w:r>
        <w:rPr>
          <w:bCs/>
          <w:szCs w:val="22"/>
        </w:rPr>
        <w:t xml:space="preserve">virus-Krise wird um vorherige Terminvereinbarung gebeten. Sämtliche Dienstleis </w:t>
      </w:r>
    </w:p>
    <w:p>
      <w:pPr>
        <w:spacing w:after="0"/>
        <w:ind w:left="643"/>
        <w:jc w:val="both"/>
        <w:rPr>
          <w:szCs w:val="22"/>
        </w:rPr>
      </w:pPr>
      <w:r>
        <w:rPr>
          <w:bCs/>
          <w:szCs w:val="22"/>
        </w:rPr>
        <w:t xml:space="preserve">tungen stehen zusätzlich online zur Verfügung. Das Kundenzentrum im Amt für Bodenmanagement und Geoinformation ist telefonisch oder per E-Mail erreichbar unter: Tel.: 0228 772200 </w:t>
      </w:r>
    </w:p>
    <w:p>
      <w:pPr>
        <w:spacing w:after="0"/>
        <w:ind w:left="643"/>
        <w:jc w:val="both"/>
        <w:rPr>
          <w:szCs w:val="22"/>
        </w:rPr>
      </w:pPr>
      <w:r>
        <w:rPr>
          <w:bCs/>
          <w:szCs w:val="22"/>
        </w:rPr>
        <w:t>E-Mail: kundenzentrum-geodaten@bonn.de.</w:t>
      </w:r>
    </w:p>
    <w:p>
      <w:pPr>
        <w:pStyle w:val="VfgPunktff"/>
        <w:ind w:left="0"/>
        <w:jc w:val="both"/>
      </w:pPr>
    </w:p>
    <w:p>
      <w:pPr>
        <w:pStyle w:val="VfgPunktff"/>
        <w:jc w:val="both"/>
      </w:pPr>
    </w:p>
    <w:p>
      <w:pPr>
        <w:pStyle w:val="Textkrper-Zeileneinzug"/>
        <w:numPr>
          <w:ilvl w:val="0"/>
          <w:numId w:val="7"/>
        </w:numPr>
      </w:pPr>
      <w:r>
        <w:t>Jeder, dessen Belange durch das o.g. Vorhaben berührt werden, kann bis spätestens einen Monat nach Ablauf der Auslegungsfrist, das ist</w:t>
      </w:r>
    </w:p>
    <w:p>
      <w:pPr>
        <w:pStyle w:val="Textkrper-Zeileneinzug"/>
        <w:ind w:left="643"/>
      </w:pPr>
      <w:r>
        <w:t xml:space="preserve"> </w:t>
      </w:r>
    </w:p>
    <w:p>
      <w:pPr>
        <w:pStyle w:val="Textkrper-Zeileneinzug"/>
        <w:ind w:left="2124" w:firstLine="708"/>
      </w:pPr>
      <w:r>
        <w:rPr>
          <w:b/>
        </w:rPr>
        <w:t>bis zum</w:t>
      </w:r>
      <w:r>
        <w:t xml:space="preserve"> </w:t>
      </w:r>
      <w:r>
        <w:rPr>
          <w:b/>
        </w:rPr>
        <w:t>03.04.2023 einschließlich</w:t>
      </w:r>
      <w:r>
        <w:t>,</w:t>
      </w:r>
    </w:p>
    <w:p>
      <w:pPr>
        <w:pStyle w:val="Textkrper-Zeileneinzug"/>
        <w:ind w:left="2124" w:firstLine="708"/>
      </w:pPr>
    </w:p>
    <w:p>
      <w:pPr>
        <w:pStyle w:val="Textkrper-Zeileneinzug"/>
        <w:ind w:left="709"/>
        <w:rPr>
          <w:rFonts w:ascii="Calibri" w:eastAsiaTheme="minorHAnsi" w:hAnsi="Calibri" w:cstheme="minorBidi"/>
          <w:szCs w:val="21"/>
          <w:lang w:eastAsia="en-US"/>
        </w:rPr>
      </w:pPr>
      <w:r>
        <w:t>bei der Bezirksregierung Köln, Dezernat 25, Zeughausstraße 2-10, 50667 Köln (Anhörungsbehörde) oder bei der</w:t>
      </w:r>
      <w:r>
        <w:rPr>
          <w:rFonts w:ascii="Calibri" w:eastAsiaTheme="minorHAnsi" w:hAnsi="Calibri" w:cstheme="minorBidi"/>
          <w:szCs w:val="21"/>
          <w:lang w:eastAsia="en-US"/>
        </w:rPr>
        <w:t xml:space="preserve"> </w:t>
      </w:r>
      <w:r>
        <w:t>Bundesstadt Bonn, Stadtplanungsamt</w:t>
      </w:r>
      <w:r>
        <w:rPr>
          <w:rFonts w:ascii="Calibri" w:eastAsiaTheme="minorHAnsi" w:hAnsi="Calibri" w:cstheme="minorBidi"/>
          <w:szCs w:val="21"/>
          <w:lang w:eastAsia="en-US"/>
        </w:rPr>
        <w:t xml:space="preserve"> </w:t>
      </w:r>
      <w:r>
        <w:t>Planverfahren Bonn, Stadthaus</w:t>
      </w:r>
      <w:r>
        <w:rPr>
          <w:rFonts w:ascii="Calibri" w:eastAsiaTheme="minorHAnsi" w:hAnsi="Calibri" w:cstheme="minorBidi"/>
          <w:szCs w:val="21"/>
          <w:lang w:eastAsia="en-US"/>
        </w:rPr>
        <w:t xml:space="preserve"> , </w:t>
      </w:r>
      <w:r>
        <w:t>Berliner Platz 2</w:t>
      </w:r>
      <w:r>
        <w:rPr>
          <w:rFonts w:ascii="Calibri" w:eastAsiaTheme="minorHAnsi" w:hAnsi="Calibri" w:cstheme="minorBidi"/>
          <w:szCs w:val="21"/>
          <w:lang w:eastAsia="en-US"/>
        </w:rPr>
        <w:t xml:space="preserve">, </w:t>
      </w:r>
      <w:r>
        <w:t>53111 Bonn</w:t>
      </w:r>
    </w:p>
    <w:p>
      <w:pPr>
        <w:pStyle w:val="Textkrper-Zeileneinzug"/>
        <w:spacing w:after="0"/>
        <w:ind w:left="709"/>
      </w:pPr>
    </w:p>
    <w:p>
      <w:pPr>
        <w:pStyle w:val="Textkrper-Zeileneinzug"/>
        <w:ind w:left="709"/>
      </w:pPr>
      <w:r>
        <w:t xml:space="preserve">Einwendungen gegen die geänderten Planunterlagen schriftlich oder zur Niederschrift erheben. </w:t>
      </w:r>
    </w:p>
    <w:p>
      <w:pPr>
        <w:spacing w:after="0"/>
        <w:jc w:val="both"/>
        <w:rPr>
          <w:b/>
          <w:szCs w:val="22"/>
        </w:rPr>
      </w:pPr>
    </w:p>
    <w:p>
      <w:pPr>
        <w:spacing w:after="0"/>
        <w:ind w:left="643"/>
        <w:jc w:val="both"/>
        <w:rPr>
          <w:b/>
          <w:szCs w:val="22"/>
        </w:rPr>
      </w:pPr>
      <w:r>
        <w:rPr>
          <w:b/>
          <w:szCs w:val="22"/>
        </w:rPr>
        <w:t>Es können nur Einwendungen zu den Änderungen in diesem 1. Deckblattverfah</w:t>
      </w:r>
      <w:bookmarkStart w:id="0" w:name="_GoBack"/>
      <w:bookmarkEnd w:id="0"/>
      <w:r>
        <w:rPr>
          <w:b/>
          <w:szCs w:val="22"/>
        </w:rPr>
        <w:t xml:space="preserve">ren erhoben werden. </w:t>
      </w:r>
    </w:p>
    <w:p>
      <w:pPr>
        <w:spacing w:after="0"/>
        <w:ind w:left="643"/>
        <w:jc w:val="both"/>
        <w:rPr>
          <w:szCs w:val="22"/>
        </w:rPr>
      </w:pPr>
    </w:p>
    <w:p>
      <w:pPr>
        <w:spacing w:after="0"/>
        <w:ind w:left="283"/>
        <w:jc w:val="both"/>
        <w:rPr>
          <w:color w:val="00B050"/>
          <w:szCs w:val="22"/>
        </w:rPr>
      </w:pPr>
      <w:r>
        <w:rPr>
          <w:color w:val="00B050"/>
          <w:szCs w:val="22"/>
        </w:rPr>
        <w:tab/>
      </w:r>
    </w:p>
    <w:p>
      <w:pPr>
        <w:spacing w:after="0"/>
        <w:ind w:left="643"/>
        <w:jc w:val="both"/>
        <w:rPr>
          <w:szCs w:val="22"/>
        </w:rPr>
      </w:pPr>
      <w:r>
        <w:rPr>
          <w:szCs w:val="22"/>
        </w:rPr>
        <w:t>Die Erhebung einer fristgerechten Einwendung sollte beinhalten, dass aus der Einwendung zumindest der geltend gemachte Belang und die Art der Beeinträchtigung hervorgehen, die Einwendung unterschrieben und mit einer den Mindestanforderungen entsprechenden, lesbaren Anschrift versehen ist.</w:t>
      </w:r>
    </w:p>
    <w:p>
      <w:pPr>
        <w:spacing w:after="0"/>
        <w:ind w:left="643"/>
        <w:jc w:val="both"/>
        <w:rPr>
          <w:color w:val="00B050"/>
          <w:szCs w:val="22"/>
        </w:rPr>
      </w:pPr>
    </w:p>
    <w:p>
      <w:pPr>
        <w:spacing w:after="0"/>
        <w:ind w:left="708"/>
        <w:jc w:val="both"/>
        <w:rPr>
          <w:szCs w:val="22"/>
        </w:rPr>
      </w:pPr>
      <w:r>
        <w:rPr>
          <w:szCs w:val="22"/>
        </w:rPr>
        <w:t>Gem. § 3a VwVfG NRW sind Einwendungen, die per E-Mail erhoben werden, nur zulässig, wenn die Empfängerbehörde hierfür einen Zugang eröffnet hat und die E-Mails mit einer qualifizierten elektronischen Signatur nach dem Signaturgesetz versehen sind. Eine Signierung mit einem Pseudonym ist nicht zulässig.</w:t>
      </w:r>
    </w:p>
    <w:p>
      <w:pPr>
        <w:spacing w:after="0"/>
        <w:ind w:left="283"/>
        <w:jc w:val="both"/>
        <w:rPr>
          <w:color w:val="00B050"/>
          <w:szCs w:val="22"/>
        </w:rPr>
      </w:pPr>
    </w:p>
    <w:p>
      <w:pPr>
        <w:spacing w:after="0"/>
        <w:ind w:left="708"/>
        <w:jc w:val="both"/>
        <w:rPr>
          <w:szCs w:val="22"/>
        </w:rPr>
      </w:pPr>
      <w:r>
        <w:rPr>
          <w:szCs w:val="22"/>
        </w:rPr>
        <w:t>Die Bezirksregierung Köln hat diesen Zugang eröffnet und es gilt Folgendes:</w:t>
      </w:r>
      <w:r>
        <w:rPr>
          <w:szCs w:val="22"/>
        </w:rPr>
        <w:br/>
        <w:t>Die Einwendung kann auch durch Übermittlung eines elektronischen Dokuments mit qualifizierter elektronischer Signatur an die elektronische Poststelle der Bezirksregierung Köln erhoben werden. Die E-Mail-Adresse lautet: poststelle@brk.sec.nrw.de.</w:t>
      </w:r>
      <w:r>
        <w:rPr>
          <w:szCs w:val="22"/>
        </w:rPr>
        <w:br/>
        <w:t xml:space="preserve">Die Einwendung kann auch durch De-Mail in der Sendevariante mit bestätigter sicherer Anmeldung nach dem De-Mail-Gesetz bei der Bezirksregierung Köln erhoben werden. Die De-Mail-Adresse lautet: </w:t>
      </w:r>
      <w:hyperlink r:id="rId9" w:history="1">
        <w:r>
          <w:rPr>
            <w:szCs w:val="22"/>
          </w:rPr>
          <w:t>poststelle@brk-nrw.de-mail.de</w:t>
        </w:r>
      </w:hyperlink>
      <w:r>
        <w:rPr>
          <w:szCs w:val="22"/>
        </w:rPr>
        <w:t>.</w:t>
      </w:r>
    </w:p>
    <w:p>
      <w:pPr>
        <w:spacing w:after="0"/>
        <w:ind w:left="283"/>
        <w:jc w:val="both"/>
        <w:rPr>
          <w:szCs w:val="22"/>
        </w:rPr>
      </w:pPr>
    </w:p>
    <w:p>
      <w:pPr>
        <w:numPr>
          <w:ilvl w:val="12"/>
          <w:numId w:val="0"/>
        </w:numPr>
        <w:spacing w:after="0"/>
        <w:ind w:left="708"/>
        <w:jc w:val="both"/>
      </w:pPr>
      <w:r>
        <w:rPr>
          <w:szCs w:val="22"/>
        </w:rPr>
        <w:t>Nach Ablauf der Frist sind Einwendungen und Äußerungen ausgeschlossen (§ 21 Abs. 4 Satz 1 und Abs. 5 UVPG)</w:t>
      </w:r>
      <w:r>
        <w:t xml:space="preserve">. Der Ausschluss beschränkt sich nur auf das Verwaltungsverfahren. </w:t>
      </w:r>
    </w:p>
    <w:p>
      <w:pPr>
        <w:numPr>
          <w:ilvl w:val="12"/>
          <w:numId w:val="0"/>
        </w:numPr>
        <w:spacing w:after="0"/>
        <w:ind w:left="283"/>
        <w:jc w:val="both"/>
        <w:rPr>
          <w:szCs w:val="22"/>
        </w:rPr>
      </w:pPr>
    </w:p>
    <w:p>
      <w:pPr>
        <w:pStyle w:val="VfgPunktff"/>
        <w:ind w:left="708"/>
        <w:jc w:val="both"/>
      </w:pPr>
      <w:r>
        <w:rPr>
          <w:szCs w:val="22"/>
        </w:rPr>
        <w:t>Einwendungen, die von mehr als 50 Personen auf Unterschriftslisten unterzeichnet oder in Form vervielfältigter gleichlautender Texte eingereicht werden (gleichförmige Eingaben): Auf jeder, mit einer Unterschrift versehenen Seite, ist ein/e Unterzeichner/in mit vollständigem Namen und Anschrift als Vertreter/in der übrigen Unterzeichner/innen zu benennen. Andernfalls können diese Einwendungen unberücksichtigt bleiben.</w:t>
      </w:r>
    </w:p>
    <w:p>
      <w:pPr>
        <w:pStyle w:val="Textkrper-Zeileneinzug"/>
        <w:ind w:left="703" w:hanging="420"/>
      </w:pPr>
      <w:r>
        <w:t>2.</w:t>
      </w:r>
      <w:r>
        <w:tab/>
        <w:t xml:space="preserve">Im Rahmen des Anhörungsverfahrens werden personenbezogene Daten erhoben. Informationen zu dieser Datenerhebung können Sie unter </w:t>
      </w:r>
      <w:hyperlink r:id="rId10" w:history="1">
        <w:r>
          <w:rPr>
            <w:rStyle w:val="Hyperlink"/>
          </w:rPr>
          <w:t>https://www.bezreg-koeln.nrw.de/brk_internet/leistungen/abteilung02/25/planfeststellung/datenschutz_planfeststellung.pdf</w:t>
        </w:r>
      </w:hyperlink>
      <w:r>
        <w:t xml:space="preserve"> einsehen.</w:t>
      </w:r>
    </w:p>
    <w:p>
      <w:pPr>
        <w:pStyle w:val="Textkrper-Zeileneinzug"/>
        <w:ind w:left="703" w:hanging="420"/>
      </w:pPr>
      <w:r>
        <w:t>3.</w:t>
      </w:r>
      <w:r>
        <w:tab/>
        <w:t>Diese ortsübliche Bekanntmachung dient auch der Benachrichtigung der Vereinigungen nach § 73 Abs. 4 Satz 5 VwVfG NRW von der Auslegung des Plans.</w:t>
      </w:r>
    </w:p>
    <w:p>
      <w:pPr>
        <w:pStyle w:val="Textkrper-Zeileneinzug"/>
        <w:ind w:left="703" w:hanging="420"/>
      </w:pPr>
      <w:r>
        <w:t>4.</w:t>
      </w:r>
      <w:r>
        <w:tab/>
        <w:t>Die Anhörungsbehörde kann unter Voraussetzungen des § 17a Abs. 1 FStrG auf eine Erörterung der rechtzeitig erhobenen Stellungnahmen, Einwendungen und Äußerungen verzichten.</w:t>
      </w:r>
    </w:p>
    <w:p>
      <w:pPr>
        <w:pStyle w:val="Textkrper-Zeileneinzug"/>
        <w:ind w:left="703"/>
      </w:pPr>
      <w:r>
        <w:t>Findet ein Erörterungstermin statt, wird dieser zuvor ortsüblich bekannt gemacht. Ferner werden diejenigen, die fristgerecht Stellungnahmen und Äußerungen eingereicht sowie Einwendungen erhoben haben, bzw. bei gleichförmigen Einwendungen und/oder Äußerungen wird der Vertreter/ die Vertreterin, von dem Termin gesondert benachrichtigt (§ 17 VwVfG NRW).</w:t>
      </w:r>
    </w:p>
    <w:p>
      <w:pPr>
        <w:pStyle w:val="Textkrper-Zeileneinzug"/>
        <w:ind w:left="703"/>
      </w:pPr>
      <w:r>
        <w:t>Sind mehr als 50 Benachrichtigungen vorzunehmen, so können sie durch öffentliche Bekanntmachung ersetzt werden.</w:t>
      </w:r>
    </w:p>
    <w:p>
      <w:pPr>
        <w:pStyle w:val="Textkrper-Zeileneinzug"/>
        <w:ind w:left="703"/>
      </w:pPr>
      <w:r>
        <w:t>Die Vertretung durch einen Bevollmächtigten ist möglich. Die Bevollmächtigung ist durch eine schriftliche Vollmacht nachzuweisen, die zu den Akten der Anhörungsbehörde zu geben ist.</w:t>
      </w:r>
    </w:p>
    <w:p>
      <w:pPr>
        <w:pStyle w:val="Textkrper-Zeileneinzug"/>
        <w:ind w:left="703"/>
      </w:pPr>
      <w:r>
        <w:t>Bei Ausbleiben eines Beteiligten in dem Erörterungstermin kann auch ohne ihn verhandelt werden. Das Anhörungsverfahren ist mit Abschluss des Erörterungstermins beendet.</w:t>
      </w:r>
    </w:p>
    <w:p>
      <w:pPr>
        <w:pStyle w:val="Textkrper-Zeileneinzug"/>
        <w:ind w:left="0" w:firstLine="703"/>
      </w:pPr>
      <w:r>
        <w:t>Der Erörterungstermin ist nicht öffentlich.</w:t>
      </w:r>
    </w:p>
    <w:p>
      <w:pPr>
        <w:numPr>
          <w:ilvl w:val="12"/>
          <w:numId w:val="0"/>
        </w:numPr>
        <w:ind w:left="703" w:hanging="703"/>
        <w:jc w:val="both"/>
      </w:pPr>
      <w:r>
        <w:t>5.</w:t>
      </w:r>
      <w:r>
        <w:tab/>
      </w:r>
      <w:r>
        <w:tab/>
        <w:t>Durch Einsichtnahme in die Planunterlagen, Erhebung von Einwendungen und Stellungnahmen, Teilnahme am Erörterungstermin oder Vertreterbestellung entstehende Kosten werden nicht erstattet.</w:t>
      </w:r>
    </w:p>
    <w:p>
      <w:pPr>
        <w:numPr>
          <w:ilvl w:val="12"/>
          <w:numId w:val="0"/>
        </w:numPr>
        <w:ind w:left="703" w:hanging="703"/>
        <w:jc w:val="both"/>
      </w:pPr>
      <w:r>
        <w:t>6.</w:t>
      </w:r>
      <w:r>
        <w:tab/>
      </w:r>
      <w:r>
        <w:tab/>
        <w:t>Entschädigungsansprüche, soweit über sie nicht in der Planfeststellung dem Grunde nach zu entscheiden ist, werden nicht in dem Erörterungstermin, sondern in einem gesonderten Entschädigungsverfahren behandelt.</w:t>
      </w:r>
    </w:p>
    <w:p>
      <w:pPr>
        <w:numPr>
          <w:ilvl w:val="12"/>
          <w:numId w:val="0"/>
        </w:numPr>
        <w:ind w:left="703" w:hanging="703"/>
        <w:jc w:val="both"/>
      </w:pPr>
      <w:r>
        <w:lastRenderedPageBreak/>
        <w:t>7.</w:t>
      </w:r>
      <w:r>
        <w:tab/>
      </w:r>
      <w:r>
        <w:tab/>
        <w:t>Über die Einwendungen und Stellungnahmen wird nach Abschluss des Anhörungsverfahrens durch die Planfeststellungsbehörde entschieden. Die Zustellung der Entscheidung (Planfeststellungsbeschluss) an die Einwender/innen und diejenigen, die eine Stellungnahme abgegeben haben, kann durch öffentliche Bekanntmachung ersetzt werden, wenn mehr als 50 Zustellungen vorzunehmen sind.</w:t>
      </w:r>
    </w:p>
    <w:p>
      <w:pPr>
        <w:ind w:left="703" w:hanging="703"/>
      </w:pPr>
      <w:r>
        <w:t>8.</w:t>
      </w:r>
      <w:r>
        <w:tab/>
      </w:r>
      <w:r>
        <w:tab/>
        <w:t>Ab Beginn der Auslegung des Planes tritt die Veränderungssperre nach § 9a Abs. 1 FStrG in Kraft. Darüber hinaus steht ab diesem Zeitpunkt dem Vorhabenträger ein Vorkaufsrecht an den vom Plan betroffenen Flächen zu.</w:t>
      </w:r>
    </w:p>
    <w:p>
      <w:pPr>
        <w:ind w:left="283" w:hanging="283"/>
      </w:pPr>
      <w:r>
        <w:t>9.</w:t>
      </w:r>
      <w:r>
        <w:tab/>
      </w:r>
      <w:r>
        <w:tab/>
        <w:t>Da das Vorhaben UVP-pflichtig ist, wird darauf hingewiesen,</w:t>
      </w:r>
    </w:p>
    <w:p>
      <w:pPr>
        <w:ind w:left="703" w:hanging="420"/>
      </w:pPr>
      <w:r>
        <w:t>-</w:t>
      </w:r>
      <w:r>
        <w:tab/>
        <w:t>dass die Bezirksregierung Köln die für das Verfahren und die für die Entscheidung über die Zulässigkeit des Vorhabens zuständige Behörde ist,</w:t>
      </w:r>
    </w:p>
    <w:p>
      <w:pPr>
        <w:ind w:left="703" w:hanging="420"/>
      </w:pPr>
      <w:r>
        <w:t>-</w:t>
      </w:r>
      <w:r>
        <w:tab/>
        <w:t>dass über die Zulässigkeit des Vorhabens durch Planfeststellungsbeschluss entschieden werden wird,</w:t>
      </w:r>
    </w:p>
    <w:p>
      <w:pPr>
        <w:ind w:left="703" w:hanging="420"/>
      </w:pPr>
      <w:r>
        <w:t>-</w:t>
      </w:r>
      <w:r>
        <w:tab/>
        <w:t>dass die ausgelegten Planunterlagen die nach § 16 Abs. 1 UVPG notwendigen Angaben enthalten und</w:t>
      </w:r>
    </w:p>
    <w:p>
      <w:pPr>
        <w:ind w:left="703" w:hanging="420"/>
      </w:pPr>
      <w:r>
        <w:t>-</w:t>
      </w:r>
      <w:r>
        <w:tab/>
        <w:t>dass die Anhörung zu den ausgelegten Planunterlagen auch die Einbeziehung der Öffentlichkeit zu den Umweltauswirkungen des Vorhabens gem. § 18 Abs. 1 UVPG voraussetzt und dies erfolgt ist.</w:t>
      </w:r>
    </w:p>
    <w:p>
      <w:pPr>
        <w:jc w:val="both"/>
        <w:rPr>
          <w:szCs w:val="24"/>
        </w:rPr>
      </w:pPr>
    </w:p>
    <w:p>
      <w:pPr>
        <w:jc w:val="both"/>
        <w:rPr>
          <w:szCs w:val="24"/>
        </w:rPr>
      </w:pPr>
    </w:p>
    <w:p>
      <w:r>
        <w:t>...............................................................</w:t>
      </w:r>
      <w:r>
        <w:tab/>
      </w:r>
      <w:r>
        <w:tab/>
        <w:t>............gez. Bierbaum...................</w:t>
      </w:r>
    </w:p>
    <w:p>
      <w:pPr>
        <w:rPr>
          <w:sz w:val="16"/>
        </w:rPr>
      </w:pPr>
      <w:r>
        <w:rPr>
          <w:sz w:val="16"/>
        </w:rPr>
        <w:t>(Amtliches Veröffentlichungsblatt der Bezirksregierung Köln)</w:t>
      </w:r>
      <w:r>
        <w:rPr>
          <w:sz w:val="16"/>
        </w:rPr>
        <w:tab/>
      </w:r>
      <w:r>
        <w:rPr>
          <w:sz w:val="16"/>
        </w:rPr>
        <w:tab/>
      </w:r>
      <w:r>
        <w:rPr>
          <w:sz w:val="16"/>
        </w:rPr>
        <w:tab/>
        <w:t>(Unterschrift)</w:t>
      </w:r>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9BA"/>
    <w:multiLevelType w:val="hybridMultilevel"/>
    <w:tmpl w:val="A676A896"/>
    <w:lvl w:ilvl="0" w:tplc="1E0AD93E">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179F6940"/>
    <w:multiLevelType w:val="hybridMultilevel"/>
    <w:tmpl w:val="43FA25DC"/>
    <w:lvl w:ilvl="0" w:tplc="AFFA9212">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44122D68"/>
    <w:multiLevelType w:val="hybridMultilevel"/>
    <w:tmpl w:val="77BC0632"/>
    <w:lvl w:ilvl="0" w:tplc="0407000F">
      <w:start w:val="4"/>
      <w:numFmt w:val="decimal"/>
      <w:lvlText w:val="%1."/>
      <w:lvlJc w:val="left"/>
      <w:pPr>
        <w:tabs>
          <w:tab w:val="num" w:pos="785"/>
        </w:tabs>
        <w:ind w:left="785" w:hanging="360"/>
      </w:pPr>
      <w:rPr>
        <w:rFonts w:hint="default"/>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3" w15:restartNumberingAfterBreak="0">
    <w:nsid w:val="67D53524"/>
    <w:multiLevelType w:val="hybridMultilevel"/>
    <w:tmpl w:val="A968A078"/>
    <w:lvl w:ilvl="0" w:tplc="A972FAF2">
      <w:start w:val="8"/>
      <w:numFmt w:val="bullet"/>
      <w:lvlText w:val="-"/>
      <w:lvlJc w:val="left"/>
      <w:pPr>
        <w:ind w:left="3042" w:hanging="360"/>
      </w:pPr>
      <w:rPr>
        <w:rFonts w:ascii="Arial" w:eastAsia="Times New Roman" w:hAnsi="Arial" w:cs="Arial" w:hint="default"/>
      </w:rPr>
    </w:lvl>
    <w:lvl w:ilvl="1" w:tplc="04070003">
      <w:start w:val="1"/>
      <w:numFmt w:val="bullet"/>
      <w:lvlText w:val="o"/>
      <w:lvlJc w:val="left"/>
      <w:pPr>
        <w:ind w:left="3762" w:hanging="360"/>
      </w:pPr>
      <w:rPr>
        <w:rFonts w:ascii="Courier New" w:hAnsi="Courier New" w:cs="Courier New" w:hint="default"/>
      </w:rPr>
    </w:lvl>
    <w:lvl w:ilvl="2" w:tplc="04070005" w:tentative="1">
      <w:start w:val="1"/>
      <w:numFmt w:val="bullet"/>
      <w:lvlText w:val=""/>
      <w:lvlJc w:val="left"/>
      <w:pPr>
        <w:ind w:left="4482" w:hanging="360"/>
      </w:pPr>
      <w:rPr>
        <w:rFonts w:ascii="Wingdings" w:hAnsi="Wingdings" w:hint="default"/>
      </w:rPr>
    </w:lvl>
    <w:lvl w:ilvl="3" w:tplc="04070001" w:tentative="1">
      <w:start w:val="1"/>
      <w:numFmt w:val="bullet"/>
      <w:lvlText w:val=""/>
      <w:lvlJc w:val="left"/>
      <w:pPr>
        <w:ind w:left="5202" w:hanging="360"/>
      </w:pPr>
      <w:rPr>
        <w:rFonts w:ascii="Symbol" w:hAnsi="Symbol" w:hint="default"/>
      </w:rPr>
    </w:lvl>
    <w:lvl w:ilvl="4" w:tplc="04070003" w:tentative="1">
      <w:start w:val="1"/>
      <w:numFmt w:val="bullet"/>
      <w:lvlText w:val="o"/>
      <w:lvlJc w:val="left"/>
      <w:pPr>
        <w:ind w:left="5922" w:hanging="360"/>
      </w:pPr>
      <w:rPr>
        <w:rFonts w:ascii="Courier New" w:hAnsi="Courier New" w:cs="Courier New" w:hint="default"/>
      </w:rPr>
    </w:lvl>
    <w:lvl w:ilvl="5" w:tplc="04070005" w:tentative="1">
      <w:start w:val="1"/>
      <w:numFmt w:val="bullet"/>
      <w:lvlText w:val=""/>
      <w:lvlJc w:val="left"/>
      <w:pPr>
        <w:ind w:left="6642" w:hanging="360"/>
      </w:pPr>
      <w:rPr>
        <w:rFonts w:ascii="Wingdings" w:hAnsi="Wingdings" w:hint="default"/>
      </w:rPr>
    </w:lvl>
    <w:lvl w:ilvl="6" w:tplc="04070001" w:tentative="1">
      <w:start w:val="1"/>
      <w:numFmt w:val="bullet"/>
      <w:lvlText w:val=""/>
      <w:lvlJc w:val="left"/>
      <w:pPr>
        <w:ind w:left="7362" w:hanging="360"/>
      </w:pPr>
      <w:rPr>
        <w:rFonts w:ascii="Symbol" w:hAnsi="Symbol" w:hint="default"/>
      </w:rPr>
    </w:lvl>
    <w:lvl w:ilvl="7" w:tplc="04070003" w:tentative="1">
      <w:start w:val="1"/>
      <w:numFmt w:val="bullet"/>
      <w:lvlText w:val="o"/>
      <w:lvlJc w:val="left"/>
      <w:pPr>
        <w:ind w:left="8082" w:hanging="360"/>
      </w:pPr>
      <w:rPr>
        <w:rFonts w:ascii="Courier New" w:hAnsi="Courier New" w:cs="Courier New" w:hint="default"/>
      </w:rPr>
    </w:lvl>
    <w:lvl w:ilvl="8" w:tplc="04070005" w:tentative="1">
      <w:start w:val="1"/>
      <w:numFmt w:val="bullet"/>
      <w:lvlText w:val=""/>
      <w:lvlJc w:val="left"/>
      <w:pPr>
        <w:ind w:left="8802" w:hanging="360"/>
      </w:pPr>
      <w:rPr>
        <w:rFonts w:ascii="Wingdings" w:hAnsi="Wingdings" w:hint="default"/>
      </w:rPr>
    </w:lvl>
  </w:abstractNum>
  <w:abstractNum w:abstractNumId="4" w15:restartNumberingAfterBreak="0">
    <w:nsid w:val="67F31835"/>
    <w:multiLevelType w:val="hybridMultilevel"/>
    <w:tmpl w:val="2652655A"/>
    <w:lvl w:ilvl="0" w:tplc="916C471A">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15:restartNumberingAfterBreak="0">
    <w:nsid w:val="6E6B4D89"/>
    <w:multiLevelType w:val="hybridMultilevel"/>
    <w:tmpl w:val="B64AC7CE"/>
    <w:lvl w:ilvl="0" w:tplc="04070017">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774737DB"/>
    <w:multiLevelType w:val="hybridMultilevel"/>
    <w:tmpl w:val="6B56349A"/>
    <w:lvl w:ilvl="0" w:tplc="910E2B7A">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6060B-0D78-4803-877B-21873D8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40" w:lineRule="auto"/>
    </w:pPr>
    <w:rPr>
      <w:rFonts w:ascii="Arial" w:eastAsia="Times New Roman" w:hAnsi="Arial"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gPunktff">
    <w:name w:val="VfgPunktff"/>
    <w:basedOn w:val="Standard"/>
    <w:pPr>
      <w:tabs>
        <w:tab w:val="left" w:pos="567"/>
      </w:tabs>
      <w:ind w:left="425"/>
    </w:pPr>
  </w:style>
  <w:style w:type="character" w:styleId="Hyperlink">
    <w:name w:val="Hyperlink"/>
    <w:basedOn w:val="Absatz-Standardschriftart"/>
    <w:rPr>
      <w:color w:val="0000FF" w:themeColor="hyperlink"/>
      <w:u w:val="single"/>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pPr>
      <w:spacing w:after="0"/>
      <w:jc w:val="both"/>
    </w:pPr>
  </w:style>
  <w:style w:type="character" w:customStyle="1" w:styleId="TextkrperZchn">
    <w:name w:val="Textkörper Zchn"/>
    <w:basedOn w:val="Absatz-Standardschriftart"/>
    <w:link w:val="Textkrper"/>
    <w:rPr>
      <w:rFonts w:ascii="Arial" w:eastAsia="Times New Roman" w:hAnsi="Arial" w:cs="Arial"/>
      <w:szCs w:val="20"/>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eastAsia="Times New Roman" w:hAnsi="Arial" w:cs="Arial"/>
      <w:szCs w:val="20"/>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eastAsia="Times New Roman" w:hAnsi="Arial" w:cs="Arial"/>
      <w:szCs w:val="20"/>
      <w:lang w:eastAsia="de-DE"/>
    </w:rPr>
  </w:style>
  <w:style w:type="paragraph" w:styleId="Textkrper-Zeileneinzug">
    <w:name w:val="Body Text Indent"/>
    <w:basedOn w:val="Standard"/>
    <w:link w:val="Textkrper-ZeileneinzugZchn"/>
    <w:uiPriority w:val="99"/>
    <w:unhideWhenUsed/>
    <w:pPr>
      <w:ind w:left="283"/>
    </w:pPr>
  </w:style>
  <w:style w:type="character" w:customStyle="1" w:styleId="Textkrper-ZeileneinzugZchn">
    <w:name w:val="Textkörper-Zeileneinzug Zchn"/>
    <w:basedOn w:val="Absatz-Standardschriftart"/>
    <w:link w:val="Textkrper-Zeileneinzug"/>
    <w:uiPriority w:val="99"/>
    <w:rPr>
      <w:rFonts w:ascii="Arial" w:eastAsia="Times New Roman" w:hAnsi="Arial" w:cs="Arial"/>
      <w:szCs w:val="20"/>
      <w:lang w:eastAsia="de-DE"/>
    </w:rPr>
  </w:style>
  <w:style w:type="paragraph" w:styleId="NurText">
    <w:name w:val="Plain Text"/>
    <w:basedOn w:val="Standard"/>
    <w:link w:val="NurTextZchn"/>
    <w:uiPriority w:val="99"/>
    <w:semiHidden/>
    <w:unhideWhenUsed/>
    <w:pPr>
      <w:spacing w:after="0"/>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eastAsia="Times New Roman" w:hAnsi="Consolas" w:cs="Arial"/>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3333">
      <w:bodyDiv w:val="1"/>
      <w:marLeft w:val="0"/>
      <w:marRight w:val="0"/>
      <w:marTop w:val="0"/>
      <w:marBottom w:val="0"/>
      <w:divBdr>
        <w:top w:val="none" w:sz="0" w:space="0" w:color="auto"/>
        <w:left w:val="none" w:sz="0" w:space="0" w:color="auto"/>
        <w:bottom w:val="none" w:sz="0" w:space="0" w:color="auto"/>
        <w:right w:val="none" w:sz="0" w:space="0" w:color="auto"/>
      </w:divBdr>
    </w:div>
    <w:div w:id="1317997354">
      <w:bodyDiv w:val="1"/>
      <w:marLeft w:val="0"/>
      <w:marRight w:val="0"/>
      <w:marTop w:val="0"/>
      <w:marBottom w:val="0"/>
      <w:divBdr>
        <w:top w:val="none" w:sz="0" w:space="0" w:color="auto"/>
        <w:left w:val="none" w:sz="0" w:space="0" w:color="auto"/>
        <w:bottom w:val="none" w:sz="0" w:space="0" w:color="auto"/>
        <w:right w:val="none" w:sz="0" w:space="0" w:color="auto"/>
      </w:divBdr>
    </w:div>
    <w:div w:id="1552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p-verbund.de/portal/" TargetMode="External"/><Relationship Id="rId3" Type="http://schemas.openxmlformats.org/officeDocument/2006/relationships/settings" Target="settings.xml"/><Relationship Id="rId7" Type="http://schemas.openxmlformats.org/officeDocument/2006/relationships/hyperlink" Target="https://url.nrw/planfeststellung_stras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ezreg-koeln.nrw.de/brk_internet/leistungen/abteilung02/25/planfeststellung/datenschutz_planfeststellung.pdf" TargetMode="External"/><Relationship Id="rId4" Type="http://schemas.openxmlformats.org/officeDocument/2006/relationships/webSettings" Target="webSettings.xml"/><Relationship Id="rId9" Type="http://schemas.openxmlformats.org/officeDocument/2006/relationships/hyperlink" Target="mailto:poststelle@brk-nrw.de-ma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kellerg</dc:creator>
  <cp:lastModifiedBy>Bierbaum, Michael</cp:lastModifiedBy>
  <cp:revision>2</cp:revision>
  <cp:lastPrinted>2016-01-19T16:04:00Z</cp:lastPrinted>
  <dcterms:created xsi:type="dcterms:W3CDTF">2023-01-13T10:12:00Z</dcterms:created>
  <dcterms:modified xsi:type="dcterms:W3CDTF">2023-01-13T10:12:00Z</dcterms:modified>
</cp:coreProperties>
</file>