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RHI Magnesita Deutschland AG, Königswinter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proofErr w:type="spellStart"/>
      <w:r>
        <w:rPr>
          <w:rFonts w:eastAsia="Times New Roman" w:cs="Arial"/>
          <w:szCs w:val="24"/>
          <w:lang w:eastAsia="de-DE"/>
        </w:rPr>
        <w:t>Köln</w:t>
      </w:r>
      <w:proofErr w:type="spellEnd"/>
      <w:r>
        <w:rPr>
          <w:rFonts w:eastAsia="Times New Roman" w:cs="Arial"/>
          <w:szCs w:val="24"/>
          <w:lang w:eastAsia="de-DE"/>
        </w:rPr>
        <w:t>, 29.09.2022</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Az.: </w:t>
      </w:r>
      <w:r>
        <w:rPr>
          <w:rFonts w:eastAsia="Times New Roman" w:cs="Arial"/>
          <w:noProof/>
          <w:szCs w:val="24"/>
          <w:lang w:eastAsia="de-DE"/>
        </w:rPr>
        <w:t>300-53.0047/22/Ho/G16</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w:t>
      </w:r>
      <w:bookmarkStart w:id="0" w:name="_GoBack"/>
      <w:bookmarkEnd w:id="0"/>
      <w:r>
        <w:rPr>
          <w:rFonts w:eastAsia="Times New Roman" w:cs="Arial"/>
          <w:szCs w:val="24"/>
          <w:lang w:eastAsia="de-DE"/>
        </w:rPr>
        <w:t>atz 2 des Gesetzes über die Umweltverträglichkeitsprüfung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Die Firma </w:t>
      </w:r>
      <w:r>
        <w:rPr>
          <w:rFonts w:eastAsia="Times New Roman" w:cs="Arial"/>
          <w:noProof/>
          <w:szCs w:val="24"/>
          <w:lang w:eastAsia="de-DE"/>
        </w:rPr>
        <w:t>RHI Magnesita Deutschland AG</w:t>
      </w:r>
      <w:r>
        <w:rPr>
          <w:rFonts w:eastAsia="Times New Roman" w:cs="Arial"/>
          <w:szCs w:val="24"/>
          <w:lang w:eastAsia="de-DE"/>
        </w:rPr>
        <w:t xml:space="preserve"> hat gem. § </w:t>
      </w:r>
      <w:r>
        <w:rPr>
          <w:rFonts w:eastAsia="Times New Roman" w:cs="Arial"/>
          <w:noProof/>
          <w:szCs w:val="24"/>
          <w:lang w:eastAsia="de-DE"/>
        </w:rPr>
        <w:t>16</w:t>
      </w:r>
      <w:r>
        <w:rPr>
          <w:rFonts w:eastAsia="Times New Roman" w:cs="Arial"/>
          <w:szCs w:val="24"/>
          <w:lang w:eastAsia="de-DE"/>
        </w:rPr>
        <w:t xml:space="preserve"> Bundes-Immissionsschutzgesetz (BImSchG) die Genehmigung wesentlichen Änderung der Anlage zum </w:t>
      </w:r>
      <w:r>
        <w:rPr>
          <w:rFonts w:eastAsia="Times New Roman" w:cs="Arial"/>
          <w:noProof/>
          <w:szCs w:val="24"/>
          <w:lang w:eastAsia="de-DE"/>
        </w:rPr>
        <w:t>Brennen von keramischen Erzeugnissen</w:t>
      </w:r>
      <w:r>
        <w:rPr>
          <w:rFonts w:eastAsia="Times New Roman" w:cs="Arial"/>
          <w:szCs w:val="24"/>
          <w:lang w:eastAsia="de-DE"/>
        </w:rPr>
        <w:t xml:space="preserve"> in </w:t>
      </w:r>
      <w:r>
        <w:rPr>
          <w:rFonts w:eastAsia="Times New Roman" w:cs="Arial"/>
          <w:noProof/>
          <w:szCs w:val="24"/>
          <w:lang w:eastAsia="de-DE"/>
        </w:rPr>
        <w:t>Königswinter</w:t>
      </w:r>
      <w:r>
        <w:rPr>
          <w:rFonts w:eastAsia="Times New Roman" w:cs="Arial"/>
          <w:szCs w:val="24"/>
          <w:lang w:eastAsia="de-DE"/>
        </w:rPr>
        <w:t>, Didierstr. 1, beantragt. Der Genehmigungsantrag beinhaltet die Errichtung eines Flüssiggastanks sowie einer Luftmischanlage und die Versorgung der vorhandenen Feuerungsanlagen mit dem Flüssiggas-Luft-Gemisch.</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ein Änderungsvorhaben nach Nr. 2.6.1 der Anlage 1 des UVPG. Es wurde eine allgemeine Vorprüfung nach § 9 Absatz 3 Nr. 2 i.V.m.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w:t>
      </w:r>
    </w:p>
    <w:p>
      <w:pPr>
        <w:pStyle w:val="NurText"/>
        <w:widowControl w:val="0"/>
        <w:spacing w:before="100" w:line="280" w:lineRule="exact"/>
        <w:jc w:val="both"/>
        <w:rPr>
          <w:rFonts w:ascii="Arial" w:hAnsi="Arial" w:cs="Arial"/>
          <w:sz w:val="24"/>
          <w:szCs w:val="24"/>
        </w:rPr>
      </w:pPr>
      <w:r>
        <w:rPr>
          <w:rFonts w:ascii="Arial" w:hAnsi="Arial" w:cs="Arial"/>
          <w:sz w:val="24"/>
          <w:szCs w:val="24"/>
        </w:rPr>
        <w:t>Insbesondere resultieren aus dem Änderungsvorhaben keine Änderungen der Emissionen in die Luft. Schallemissionen ändern sich nur geringfügig. Auswirkungen auf den Natur- und Artenschutz sowie Bodenschutz sind nicht zu besorgen, da lediglich Flächen innerhalb des langfristig bestehenden industriell genutzten Werksgeländes genutzt werden. Die Änderung führt auch nicht zum Anfall von zusätzlichen Abfällen oder Produktionsabwässern.</w:t>
      </w:r>
    </w:p>
    <w:p>
      <w:pPr>
        <w:pStyle w:val="NurText"/>
        <w:widowControl w:val="0"/>
        <w:spacing w:before="100" w:line="280" w:lineRule="exact"/>
        <w:jc w:val="both"/>
        <w:rPr>
          <w:rFonts w:ascii="Arial" w:hAnsi="Arial" w:cs="Arial"/>
          <w:sz w:val="24"/>
          <w:szCs w:val="24"/>
        </w:rPr>
      </w:pPr>
      <w:r>
        <w:rPr>
          <w:rFonts w:ascii="Arial" w:hAnsi="Arial" w:cs="Arial"/>
          <w:sz w:val="24"/>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Marina Hoffmann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0AA7A-C530-4DDB-A78B-A1E5EA8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4</cp:revision>
  <dcterms:created xsi:type="dcterms:W3CDTF">2022-09-28T10:01:00Z</dcterms:created>
  <dcterms:modified xsi:type="dcterms:W3CDTF">2022-09-29T06:48:00Z</dcterms:modified>
</cp:coreProperties>
</file>