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2A" w:rsidRDefault="00074C2A">
      <w:pPr>
        <w:rPr>
          <w:rFonts w:ascii="Arial" w:hAnsi="Arial" w:cs="Arial"/>
          <w:sz w:val="22"/>
        </w:rPr>
      </w:pPr>
    </w:p>
    <w:p w:rsidR="00074C2A" w:rsidRDefault="00074C2A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Öffentliche Bekanntmachung</w:t>
      </w:r>
    </w:p>
    <w:p w:rsidR="00074C2A" w:rsidRDefault="00074C2A">
      <w:pPr>
        <w:rPr>
          <w:rFonts w:ascii="Arial" w:hAnsi="Arial" w:cs="Arial"/>
          <w:sz w:val="22"/>
        </w:rPr>
      </w:pPr>
    </w:p>
    <w:p w:rsidR="00074C2A" w:rsidRDefault="00157A7E" w:rsidP="00106661">
      <w:pPr>
        <w:rPr>
          <w:rFonts w:ascii="Arial" w:hAnsi="Arial" w:cs="Arial"/>
          <w:sz w:val="22"/>
          <w:szCs w:val="22"/>
        </w:rPr>
      </w:pPr>
      <w:r w:rsidRPr="00A623D4">
        <w:rPr>
          <w:rFonts w:ascii="Arial" w:hAnsi="Arial" w:cs="Arial"/>
          <w:sz w:val="22"/>
          <w:szCs w:val="22"/>
        </w:rPr>
        <w:t>Bezirksregierung Detmold</w:t>
      </w:r>
      <w:r w:rsidRPr="00A623D4">
        <w:rPr>
          <w:rFonts w:ascii="Arial" w:hAnsi="Arial" w:cs="Arial"/>
          <w:sz w:val="22"/>
          <w:szCs w:val="22"/>
        </w:rPr>
        <w:tab/>
      </w:r>
      <w:r w:rsidRPr="00A623D4">
        <w:rPr>
          <w:rFonts w:ascii="Arial" w:hAnsi="Arial" w:cs="Arial"/>
          <w:sz w:val="22"/>
          <w:szCs w:val="22"/>
        </w:rPr>
        <w:tab/>
      </w:r>
      <w:r w:rsidRPr="00A623D4">
        <w:rPr>
          <w:rFonts w:ascii="Arial" w:hAnsi="Arial" w:cs="Arial"/>
          <w:sz w:val="22"/>
          <w:szCs w:val="22"/>
        </w:rPr>
        <w:tab/>
      </w:r>
      <w:r w:rsidRPr="00A623D4">
        <w:rPr>
          <w:rFonts w:ascii="Arial" w:hAnsi="Arial" w:cs="Arial"/>
          <w:sz w:val="22"/>
          <w:szCs w:val="22"/>
        </w:rPr>
        <w:tab/>
      </w:r>
      <w:r w:rsidR="00074C2A" w:rsidRPr="00A623D4">
        <w:rPr>
          <w:rFonts w:ascii="Arial" w:hAnsi="Arial" w:cs="Arial"/>
          <w:sz w:val="22"/>
          <w:szCs w:val="22"/>
        </w:rPr>
        <w:tab/>
      </w:r>
      <w:r w:rsidR="00106661">
        <w:rPr>
          <w:rFonts w:ascii="Arial" w:hAnsi="Arial" w:cs="Arial"/>
          <w:sz w:val="22"/>
          <w:szCs w:val="22"/>
        </w:rPr>
        <w:tab/>
      </w:r>
      <w:r w:rsidR="00106661">
        <w:rPr>
          <w:rFonts w:ascii="Arial" w:hAnsi="Arial" w:cs="Arial"/>
          <w:sz w:val="22"/>
          <w:szCs w:val="22"/>
        </w:rPr>
        <w:tab/>
      </w:r>
      <w:r w:rsidR="00074C2A" w:rsidRPr="00A623D4">
        <w:rPr>
          <w:rFonts w:ascii="Arial" w:hAnsi="Arial" w:cs="Arial"/>
          <w:sz w:val="22"/>
          <w:szCs w:val="22"/>
        </w:rPr>
        <w:t xml:space="preserve">Az.: </w:t>
      </w:r>
      <w:r w:rsidR="00F945B0" w:rsidRPr="00F945B0">
        <w:rPr>
          <w:rFonts w:ascii="Arial" w:hAnsi="Arial" w:cs="Arial"/>
          <w:sz w:val="22"/>
          <w:szCs w:val="22"/>
        </w:rPr>
        <w:t>52.0033/22/8.6.3.2</w:t>
      </w:r>
    </w:p>
    <w:p w:rsidR="003A4B4D" w:rsidRDefault="003A4B4D" w:rsidP="003A4B4D">
      <w:pPr>
        <w:ind w:left="6379" w:firstLine="701"/>
        <w:rPr>
          <w:rFonts w:ascii="Arial" w:hAnsi="Arial" w:cs="Arial"/>
          <w:sz w:val="22"/>
        </w:rPr>
      </w:pPr>
    </w:p>
    <w:p w:rsidR="00074C2A" w:rsidRDefault="00074C2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Bekanntmachung der Entscheidung über die</w:t>
      </w:r>
    </w:p>
    <w:p w:rsidR="00074C2A" w:rsidRDefault="00074C2A">
      <w:pPr>
        <w:rPr>
          <w:rFonts w:ascii="Arial" w:hAnsi="Arial" w:cs="Arial"/>
          <w:sz w:val="22"/>
        </w:rPr>
      </w:pPr>
    </w:p>
    <w:p w:rsidR="00074C2A" w:rsidRDefault="00074C2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Notwendigkeit einer Umweltverträglichkeitsprüfung</w:t>
      </w:r>
      <w:r w:rsidR="0014599E">
        <w:rPr>
          <w:rFonts w:ascii="Arial" w:hAnsi="Arial" w:cs="Arial"/>
          <w:b/>
          <w:sz w:val="22"/>
        </w:rPr>
        <w:t>:</w:t>
      </w:r>
      <w:r w:rsidR="0010666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Einzelfalluntersuchung nach § 3 c</w:t>
      </w:r>
    </w:p>
    <w:p w:rsidR="00074C2A" w:rsidRDefault="00074C2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des Gesetzes über die Umweltverträglichkeitsprüfung (UVPG)</w:t>
      </w:r>
    </w:p>
    <w:p w:rsidR="00074C2A" w:rsidRPr="003A4B4D" w:rsidRDefault="00074C2A">
      <w:pPr>
        <w:rPr>
          <w:rFonts w:ascii="Arial" w:hAnsi="Arial" w:cs="Arial"/>
          <w:sz w:val="22"/>
          <w:lang w:val="en-US"/>
        </w:rPr>
      </w:pPr>
    </w:p>
    <w:p w:rsidR="0014599E" w:rsidRPr="0014599E" w:rsidRDefault="00705E49" w:rsidP="0014599E">
      <w:pPr>
        <w:tabs>
          <w:tab w:val="left" w:pos="9638"/>
        </w:tabs>
        <w:ind w:right="1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F945B0">
        <w:rPr>
          <w:rFonts w:ascii="Arial" w:hAnsi="Arial" w:cs="Arial"/>
          <w:sz w:val="22"/>
          <w:szCs w:val="22"/>
        </w:rPr>
        <w:t>Busse</w:t>
      </w:r>
      <w:r w:rsidR="0062020E">
        <w:rPr>
          <w:rFonts w:ascii="Arial" w:hAnsi="Arial" w:cs="Arial"/>
          <w:sz w:val="22"/>
          <w:szCs w:val="22"/>
        </w:rPr>
        <w:t xml:space="preserve">. </w:t>
      </w:r>
      <w:r w:rsidR="00C25B1E">
        <w:rPr>
          <w:rFonts w:ascii="Arial" w:hAnsi="Arial" w:cs="Arial"/>
          <w:sz w:val="22"/>
          <w:szCs w:val="22"/>
        </w:rPr>
        <w:t xml:space="preserve">Biogas </w:t>
      </w:r>
      <w:r w:rsidR="00F945B0">
        <w:rPr>
          <w:rFonts w:ascii="Arial" w:hAnsi="Arial" w:cs="Arial"/>
          <w:sz w:val="22"/>
          <w:szCs w:val="22"/>
        </w:rPr>
        <w:t>GbR</w:t>
      </w:r>
      <w:r w:rsidR="00BA4551">
        <w:rPr>
          <w:rFonts w:ascii="Arial" w:hAnsi="Arial" w:cs="Arial"/>
          <w:sz w:val="22"/>
          <w:szCs w:val="22"/>
        </w:rPr>
        <w:t xml:space="preserve"> </w:t>
      </w:r>
      <w:r w:rsidR="00074C2A" w:rsidRPr="00A623D4">
        <w:rPr>
          <w:rFonts w:ascii="Arial" w:hAnsi="Arial" w:cs="Arial"/>
          <w:sz w:val="22"/>
          <w:szCs w:val="22"/>
        </w:rPr>
        <w:t xml:space="preserve">beantragt die </w:t>
      </w:r>
      <w:r w:rsidR="003A4B4D">
        <w:rPr>
          <w:rFonts w:ascii="Arial" w:hAnsi="Arial" w:cs="Arial"/>
          <w:sz w:val="22"/>
          <w:szCs w:val="22"/>
        </w:rPr>
        <w:t>Genehmigung</w:t>
      </w:r>
      <w:r w:rsidR="00074C2A" w:rsidRPr="00A623D4">
        <w:rPr>
          <w:rFonts w:ascii="Arial" w:hAnsi="Arial" w:cs="Arial"/>
          <w:sz w:val="22"/>
          <w:szCs w:val="22"/>
        </w:rPr>
        <w:t xml:space="preserve"> gemäß § </w:t>
      </w:r>
      <w:r w:rsidR="003A4B4D">
        <w:rPr>
          <w:rFonts w:ascii="Arial" w:hAnsi="Arial" w:cs="Arial"/>
          <w:sz w:val="22"/>
          <w:szCs w:val="22"/>
        </w:rPr>
        <w:t>16</w:t>
      </w:r>
      <w:r w:rsidR="00074C2A" w:rsidRPr="00A623D4">
        <w:rPr>
          <w:rFonts w:ascii="Arial" w:hAnsi="Arial" w:cs="Arial"/>
          <w:sz w:val="22"/>
          <w:szCs w:val="22"/>
        </w:rPr>
        <w:t xml:space="preserve"> des Bundes-Immissionsschutzgesetzes (BImSchG) zur</w:t>
      </w:r>
      <w:r w:rsidR="00074C2A">
        <w:rPr>
          <w:rFonts w:ascii="Arial" w:hAnsi="Arial" w:cs="Arial"/>
          <w:sz w:val="22"/>
        </w:rPr>
        <w:t xml:space="preserve"> </w:t>
      </w:r>
      <w:r w:rsidR="003A4B4D">
        <w:rPr>
          <w:rFonts w:ascii="Arial" w:hAnsi="Arial" w:cs="Arial"/>
          <w:sz w:val="22"/>
        </w:rPr>
        <w:t>Änderung</w:t>
      </w:r>
      <w:r w:rsidR="0062020E">
        <w:rPr>
          <w:rFonts w:ascii="Arial" w:hAnsi="Arial" w:cs="Arial"/>
          <w:sz w:val="22"/>
        </w:rPr>
        <w:t xml:space="preserve"> und zum </w:t>
      </w:r>
      <w:r w:rsidR="003A4B4D">
        <w:rPr>
          <w:rFonts w:ascii="Arial" w:hAnsi="Arial" w:cs="Arial"/>
          <w:sz w:val="22"/>
        </w:rPr>
        <w:t xml:space="preserve">geänderten </w:t>
      </w:r>
      <w:r w:rsidR="0062020E">
        <w:rPr>
          <w:rFonts w:ascii="Arial" w:hAnsi="Arial" w:cs="Arial"/>
          <w:sz w:val="22"/>
        </w:rPr>
        <w:t xml:space="preserve">Betrieb </w:t>
      </w:r>
      <w:r w:rsidR="003A4B4D">
        <w:rPr>
          <w:rFonts w:ascii="Arial" w:hAnsi="Arial" w:cs="Arial"/>
          <w:sz w:val="22"/>
        </w:rPr>
        <w:t>d</w:t>
      </w:r>
      <w:r w:rsidR="0062020E">
        <w:rPr>
          <w:rFonts w:ascii="Arial" w:hAnsi="Arial" w:cs="Arial"/>
          <w:sz w:val="22"/>
        </w:rPr>
        <w:t xml:space="preserve">er Anlage </w:t>
      </w:r>
      <w:r w:rsidR="0014599E">
        <w:rPr>
          <w:rFonts w:ascii="Arial" w:hAnsi="Arial" w:cs="Arial"/>
          <w:sz w:val="22"/>
        </w:rPr>
        <w:t xml:space="preserve">in </w:t>
      </w:r>
      <w:r w:rsidR="00F945B0">
        <w:rPr>
          <w:rFonts w:ascii="Arial" w:hAnsi="Arial" w:cs="Arial"/>
          <w:sz w:val="22"/>
        </w:rPr>
        <w:t xml:space="preserve">37671 Höxter, Hansastr. 21 </w:t>
      </w:r>
      <w:r w:rsidR="00521A92">
        <w:rPr>
          <w:rFonts w:ascii="Arial" w:hAnsi="Arial" w:cs="Arial"/>
          <w:sz w:val="22"/>
        </w:rPr>
        <w:t>und fällt unter die Ziffern</w:t>
      </w:r>
      <w:r w:rsidR="003A4B4D">
        <w:rPr>
          <w:rFonts w:ascii="Arial" w:hAnsi="Arial" w:cs="Arial"/>
          <w:sz w:val="22"/>
        </w:rPr>
        <w:t xml:space="preserve"> </w:t>
      </w:r>
      <w:r w:rsidR="00C25B1E">
        <w:rPr>
          <w:rFonts w:ascii="Arial" w:hAnsi="Arial" w:cs="Arial"/>
          <w:sz w:val="22"/>
        </w:rPr>
        <w:t>1.2.2.2, 8.6.3.2, 8.13 und 9.1.1.2 d</w:t>
      </w:r>
      <w:r w:rsidR="00521A92">
        <w:rPr>
          <w:rFonts w:ascii="Arial" w:hAnsi="Arial" w:cs="Arial"/>
          <w:sz w:val="22"/>
        </w:rPr>
        <w:t>es Anhangs</w:t>
      </w:r>
      <w:r w:rsidR="003A4B4D">
        <w:rPr>
          <w:rFonts w:ascii="Arial" w:hAnsi="Arial" w:cs="Arial"/>
          <w:sz w:val="22"/>
        </w:rPr>
        <w:t xml:space="preserve"> 1</w:t>
      </w:r>
      <w:r w:rsidR="00521A92">
        <w:rPr>
          <w:rFonts w:ascii="Arial" w:hAnsi="Arial" w:cs="Arial"/>
          <w:sz w:val="22"/>
        </w:rPr>
        <w:t xml:space="preserve"> der 4. BImSchV. </w:t>
      </w:r>
      <w:r w:rsidR="005E7164">
        <w:rPr>
          <w:rFonts w:ascii="Arial" w:hAnsi="Arial" w:cs="Arial"/>
          <w:sz w:val="22"/>
        </w:rPr>
        <w:t xml:space="preserve">Beantragt wird </w:t>
      </w:r>
      <w:r w:rsidR="00106661">
        <w:rPr>
          <w:rFonts w:ascii="Arial" w:hAnsi="Arial" w:cs="Arial"/>
          <w:sz w:val="22"/>
        </w:rPr>
        <w:t xml:space="preserve">die </w:t>
      </w:r>
      <w:r w:rsidR="00C25B1E">
        <w:rPr>
          <w:rFonts w:ascii="Arial" w:hAnsi="Arial" w:cs="Arial"/>
          <w:sz w:val="22"/>
        </w:rPr>
        <w:t xml:space="preserve">Erweiterung </w:t>
      </w:r>
      <w:r w:rsidR="00F945B0">
        <w:rPr>
          <w:rFonts w:ascii="Arial" w:hAnsi="Arial" w:cs="Arial"/>
          <w:sz w:val="22"/>
        </w:rPr>
        <w:t>der Anlage um eine semiaerobe Hydrolyse</w:t>
      </w:r>
      <w:r w:rsidR="00C25B1E">
        <w:rPr>
          <w:rFonts w:ascii="Arial" w:hAnsi="Arial" w:cs="Arial"/>
          <w:sz w:val="22"/>
        </w:rPr>
        <w:t>.</w:t>
      </w:r>
      <w:r w:rsidR="00106661">
        <w:rPr>
          <w:rFonts w:ascii="Arial" w:hAnsi="Arial" w:cs="Arial"/>
          <w:sz w:val="22"/>
        </w:rPr>
        <w:t xml:space="preserve"> </w:t>
      </w:r>
      <w:r w:rsidR="0014599E" w:rsidRPr="0014599E">
        <w:rPr>
          <w:rFonts w:ascii="Arial" w:hAnsi="Arial" w:cs="Arial"/>
          <w:sz w:val="22"/>
        </w:rPr>
        <w:t xml:space="preserve"> </w:t>
      </w:r>
    </w:p>
    <w:p w:rsidR="00A623D4" w:rsidRDefault="00A623D4" w:rsidP="0014599E">
      <w:pPr>
        <w:tabs>
          <w:tab w:val="left" w:pos="9638"/>
        </w:tabs>
        <w:ind w:right="140"/>
        <w:jc w:val="both"/>
        <w:rPr>
          <w:rFonts w:ascii="Arial" w:hAnsi="Arial" w:cs="Arial"/>
          <w:sz w:val="22"/>
        </w:rPr>
      </w:pPr>
    </w:p>
    <w:p w:rsidR="00777DAC" w:rsidRDefault="00521A92" w:rsidP="004F7D98">
      <w:pPr>
        <w:pStyle w:val="Kopfzeile"/>
        <w:tabs>
          <w:tab w:val="clear" w:pos="907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v. g. Anlage </w:t>
      </w:r>
      <w:r w:rsidR="00074C2A">
        <w:rPr>
          <w:rFonts w:ascii="Arial" w:hAnsi="Arial" w:cs="Arial"/>
          <w:sz w:val="22"/>
        </w:rPr>
        <w:t>ist de</w:t>
      </w:r>
      <w:r w:rsidR="00BA4551">
        <w:rPr>
          <w:rFonts w:ascii="Arial" w:hAnsi="Arial" w:cs="Arial"/>
          <w:sz w:val="22"/>
        </w:rPr>
        <w:t xml:space="preserve">n </w:t>
      </w:r>
      <w:r w:rsidR="00074C2A">
        <w:rPr>
          <w:rFonts w:ascii="Arial" w:hAnsi="Arial" w:cs="Arial"/>
          <w:sz w:val="22"/>
        </w:rPr>
        <w:t>Ziff</w:t>
      </w:r>
      <w:r w:rsidR="00E161B2">
        <w:rPr>
          <w:rFonts w:ascii="Arial" w:hAnsi="Arial" w:cs="Arial"/>
          <w:sz w:val="22"/>
        </w:rPr>
        <w:t>er</w:t>
      </w:r>
      <w:r w:rsidR="00BA4551">
        <w:rPr>
          <w:rFonts w:ascii="Arial" w:hAnsi="Arial" w:cs="Arial"/>
          <w:sz w:val="22"/>
        </w:rPr>
        <w:t>n</w:t>
      </w:r>
      <w:r w:rsidR="00C25B1E">
        <w:rPr>
          <w:rFonts w:ascii="Arial" w:hAnsi="Arial" w:cs="Arial"/>
          <w:sz w:val="22"/>
        </w:rPr>
        <w:t xml:space="preserve"> 1.2.2.2, 8.4.2.2</w:t>
      </w:r>
      <w:r w:rsidR="00BA4551">
        <w:rPr>
          <w:rFonts w:ascii="Arial" w:hAnsi="Arial" w:cs="Arial"/>
          <w:sz w:val="22"/>
        </w:rPr>
        <w:t xml:space="preserve"> </w:t>
      </w:r>
      <w:r w:rsidR="00C25B1E">
        <w:rPr>
          <w:rFonts w:ascii="Arial" w:hAnsi="Arial" w:cs="Arial"/>
          <w:sz w:val="22"/>
        </w:rPr>
        <w:t xml:space="preserve">und 9.1.1.3 </w:t>
      </w:r>
      <w:r w:rsidR="00074C2A">
        <w:rPr>
          <w:rFonts w:ascii="Arial" w:hAnsi="Arial" w:cs="Arial"/>
          <w:sz w:val="22"/>
        </w:rPr>
        <w:t>der Anlage 1 zum UVPG zuzuord</w:t>
      </w:r>
      <w:r w:rsidR="00705E49">
        <w:rPr>
          <w:rFonts w:ascii="Arial" w:hAnsi="Arial" w:cs="Arial"/>
          <w:sz w:val="22"/>
        </w:rPr>
        <w:t>nen</w:t>
      </w:r>
      <w:r w:rsidR="0062020E">
        <w:rPr>
          <w:rFonts w:ascii="Arial" w:hAnsi="Arial" w:cs="Arial"/>
          <w:sz w:val="22"/>
        </w:rPr>
        <w:t>.</w:t>
      </w:r>
      <w:r w:rsidR="005E7164">
        <w:rPr>
          <w:rFonts w:ascii="Arial" w:hAnsi="Arial" w:cs="Arial"/>
          <w:sz w:val="22"/>
        </w:rPr>
        <w:t xml:space="preserve"> </w:t>
      </w:r>
      <w:r w:rsidR="00074C2A">
        <w:rPr>
          <w:rFonts w:ascii="Arial" w:hAnsi="Arial" w:cs="Arial"/>
          <w:sz w:val="22"/>
        </w:rPr>
        <w:t xml:space="preserve">Somit ist gemäß § </w:t>
      </w:r>
      <w:r w:rsidR="00106661">
        <w:rPr>
          <w:rFonts w:ascii="Arial" w:hAnsi="Arial" w:cs="Arial"/>
          <w:sz w:val="22"/>
        </w:rPr>
        <w:t>9</w:t>
      </w:r>
      <w:r w:rsidR="00074C2A">
        <w:rPr>
          <w:rFonts w:ascii="Arial" w:hAnsi="Arial" w:cs="Arial"/>
          <w:sz w:val="22"/>
        </w:rPr>
        <w:t xml:space="preserve"> des Gesetzes über die Umweltverträglichkeitsprüfung (UVPG) in einer Einzelfalluntersuchung</w:t>
      </w:r>
      <w:r w:rsidR="005209C4">
        <w:rPr>
          <w:rFonts w:ascii="Arial" w:hAnsi="Arial" w:cs="Arial"/>
          <w:sz w:val="22"/>
        </w:rPr>
        <w:t xml:space="preserve"> </w:t>
      </w:r>
      <w:r w:rsidR="00074C2A">
        <w:rPr>
          <w:rFonts w:ascii="Arial" w:hAnsi="Arial" w:cs="Arial"/>
          <w:sz w:val="22"/>
        </w:rPr>
        <w:t>zu prüfen, ob das Vorhaben einer Umweltverträglichkeitsprüfung gemäß des Abschnitt 2 des UVPG unterzogen werden muss.</w:t>
      </w:r>
      <w:r w:rsidR="00106661">
        <w:rPr>
          <w:rFonts w:ascii="Arial" w:hAnsi="Arial" w:cs="Arial"/>
          <w:sz w:val="22"/>
        </w:rPr>
        <w:t xml:space="preserve"> </w:t>
      </w:r>
      <w:r w:rsidR="00F945B0">
        <w:rPr>
          <w:rFonts w:ascii="Arial" w:hAnsi="Arial" w:cs="Arial"/>
          <w:sz w:val="22"/>
        </w:rPr>
        <w:t>Die Hydrolyse zielt auf eine Vorbehandlung von Stoffen um die Gasausbeute zu verbessern und die Abbaugeschwindigkeit zu erhöhen.</w:t>
      </w:r>
      <w:r w:rsidR="004F7D98">
        <w:rPr>
          <w:rFonts w:ascii="Arial" w:hAnsi="Arial" w:cs="Arial"/>
          <w:sz w:val="22"/>
        </w:rPr>
        <w:t xml:space="preserve"> </w:t>
      </w:r>
      <w:r w:rsidR="004F7D98" w:rsidRPr="00777DAC">
        <w:rPr>
          <w:rFonts w:ascii="Arial" w:hAnsi="Arial" w:cs="Arial"/>
          <w:sz w:val="22"/>
        </w:rPr>
        <w:t>I</w:t>
      </w:r>
      <w:r w:rsidR="004F7D98">
        <w:rPr>
          <w:rFonts w:ascii="Arial" w:hAnsi="Arial" w:cs="Arial"/>
          <w:sz w:val="22"/>
        </w:rPr>
        <w:t xml:space="preserve">n </w:t>
      </w:r>
      <w:r w:rsidR="004F7D98" w:rsidRPr="00777DAC">
        <w:rPr>
          <w:rFonts w:ascii="Arial" w:hAnsi="Arial" w:cs="Arial"/>
          <w:sz w:val="22"/>
        </w:rPr>
        <w:t xml:space="preserve">der Anlage erfolgt </w:t>
      </w:r>
      <w:r w:rsidR="004F7D98">
        <w:rPr>
          <w:rFonts w:ascii="Arial" w:hAnsi="Arial" w:cs="Arial"/>
          <w:sz w:val="22"/>
        </w:rPr>
        <w:t>keine Änderung hinsichtlich der Inputmengen, der Gasproduktion und der Gaslagermenge</w:t>
      </w:r>
      <w:r w:rsidR="004F7D98">
        <w:rPr>
          <w:rFonts w:ascii="Arial" w:hAnsi="Arial" w:cs="Arial"/>
          <w:sz w:val="22"/>
        </w:rPr>
        <w:t xml:space="preserve">, die Betriebsweise neben dieser Änderung </w:t>
      </w:r>
      <w:r w:rsidR="004F7D98">
        <w:rPr>
          <w:rFonts w:ascii="Arial" w:hAnsi="Arial" w:cs="Arial"/>
          <w:sz w:val="22"/>
        </w:rPr>
        <w:t>bleibt</w:t>
      </w:r>
      <w:r w:rsidR="004F7D98">
        <w:rPr>
          <w:rFonts w:ascii="Arial" w:hAnsi="Arial" w:cs="Arial"/>
          <w:sz w:val="22"/>
        </w:rPr>
        <w:t xml:space="preserve"> unverändert. Die Maßnahme selbst stellt eine geringfügige Änderung der Anlage dar, die Abluft wird über ein Biofilter gereinigt.</w:t>
      </w:r>
      <w:bookmarkStart w:id="0" w:name="_GoBack"/>
      <w:bookmarkEnd w:id="0"/>
      <w:r w:rsidR="004F7D98">
        <w:rPr>
          <w:rFonts w:ascii="Arial" w:hAnsi="Arial" w:cs="Arial"/>
          <w:sz w:val="22"/>
        </w:rPr>
        <w:t xml:space="preserve"> </w:t>
      </w:r>
    </w:p>
    <w:p w:rsidR="004F7D98" w:rsidRDefault="004F7D98" w:rsidP="004F7D98">
      <w:pPr>
        <w:pStyle w:val="Kopfzeile"/>
        <w:tabs>
          <w:tab w:val="clear" w:pos="9071"/>
        </w:tabs>
        <w:jc w:val="both"/>
        <w:rPr>
          <w:rFonts w:ascii="Arial" w:hAnsi="Arial" w:cs="Arial"/>
          <w:sz w:val="22"/>
        </w:rPr>
      </w:pPr>
    </w:p>
    <w:p w:rsidR="006E11A1" w:rsidRDefault="00106661" w:rsidP="006E11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Von der </w:t>
      </w:r>
      <w:r w:rsidR="00F945B0">
        <w:rPr>
          <w:rFonts w:ascii="Arial" w:hAnsi="Arial" w:cs="Arial"/>
          <w:sz w:val="22"/>
        </w:rPr>
        <w:t>Änderung</w:t>
      </w:r>
      <w:r w:rsidR="00C25B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geht keine erhebliche Gefährdung für die Schutzgüter aus. </w:t>
      </w:r>
      <w:r w:rsidR="006E11A1">
        <w:rPr>
          <w:rFonts w:ascii="Arial" w:hAnsi="Arial" w:cs="Arial"/>
          <w:sz w:val="22"/>
        </w:rPr>
        <w:t>D</w:t>
      </w:r>
      <w:r w:rsidR="00E15602">
        <w:rPr>
          <w:rFonts w:ascii="Arial" w:hAnsi="Arial" w:cs="Arial"/>
          <w:sz w:val="22"/>
        </w:rPr>
        <w:t>urch d</w:t>
      </w:r>
      <w:r w:rsidR="006E11A1">
        <w:rPr>
          <w:rFonts w:ascii="Arial" w:hAnsi="Arial" w:cs="Arial"/>
          <w:sz w:val="22"/>
        </w:rPr>
        <w:t>ie</w:t>
      </w:r>
      <w:r w:rsidR="00E15602">
        <w:rPr>
          <w:rFonts w:ascii="Arial" w:hAnsi="Arial" w:cs="Arial"/>
          <w:sz w:val="22"/>
        </w:rPr>
        <w:t>se</w:t>
      </w:r>
      <w:r w:rsidR="006E11A1">
        <w:rPr>
          <w:rFonts w:ascii="Arial" w:hAnsi="Arial" w:cs="Arial"/>
          <w:sz w:val="22"/>
        </w:rPr>
        <w:t xml:space="preserve"> Merkmale und de</w:t>
      </w:r>
      <w:r w:rsidR="00E15602">
        <w:rPr>
          <w:rFonts w:ascii="Arial" w:hAnsi="Arial" w:cs="Arial"/>
          <w:sz w:val="22"/>
        </w:rPr>
        <w:t>n</w:t>
      </w:r>
      <w:r w:rsidR="006E11A1">
        <w:rPr>
          <w:rFonts w:ascii="Arial" w:hAnsi="Arial" w:cs="Arial"/>
          <w:sz w:val="22"/>
        </w:rPr>
        <w:t xml:space="preserve"> Standort des Vorhabens </w:t>
      </w:r>
      <w:r w:rsidR="00E15602">
        <w:rPr>
          <w:rFonts w:ascii="Arial" w:hAnsi="Arial" w:cs="Arial"/>
          <w:sz w:val="22"/>
        </w:rPr>
        <w:t xml:space="preserve">sind </w:t>
      </w:r>
      <w:r w:rsidR="006E11A1">
        <w:rPr>
          <w:rFonts w:ascii="Arial" w:hAnsi="Arial" w:cs="Arial"/>
          <w:sz w:val="22"/>
        </w:rPr>
        <w:t xml:space="preserve">erheblichen Auswirkungen </w:t>
      </w:r>
      <w:r w:rsidR="00E15602">
        <w:rPr>
          <w:rFonts w:ascii="Arial" w:hAnsi="Arial" w:cs="Arial"/>
          <w:sz w:val="22"/>
        </w:rPr>
        <w:t xml:space="preserve">im Sinne des UVPG </w:t>
      </w:r>
      <w:r w:rsidR="006E11A1">
        <w:rPr>
          <w:rFonts w:ascii="Arial" w:hAnsi="Arial" w:cs="Arial"/>
          <w:sz w:val="22"/>
        </w:rPr>
        <w:t>auf die Schutzgüter</w:t>
      </w:r>
      <w:r w:rsidR="00E15602">
        <w:rPr>
          <w:rFonts w:ascii="Arial" w:hAnsi="Arial" w:cs="Arial"/>
          <w:sz w:val="22"/>
        </w:rPr>
        <w:t xml:space="preserve"> nicht erkennbar</w:t>
      </w:r>
      <w:r w:rsidR="006E11A1">
        <w:rPr>
          <w:rFonts w:ascii="Arial" w:hAnsi="Arial" w:cs="Arial"/>
          <w:sz w:val="22"/>
        </w:rPr>
        <w:t xml:space="preserve">. </w:t>
      </w:r>
      <w:r w:rsidR="00074C2A">
        <w:rPr>
          <w:rFonts w:ascii="Arial" w:hAnsi="Arial" w:cs="Arial"/>
          <w:sz w:val="22"/>
        </w:rPr>
        <w:t xml:space="preserve">Nach Prüfung der Antragsunterlagen wurde </w:t>
      </w:r>
      <w:r w:rsidR="006E11A1">
        <w:rPr>
          <w:rFonts w:ascii="Arial" w:hAnsi="Arial" w:cs="Arial"/>
          <w:sz w:val="22"/>
        </w:rPr>
        <w:t xml:space="preserve">daher </w:t>
      </w:r>
      <w:r w:rsidR="00074C2A">
        <w:rPr>
          <w:rFonts w:ascii="Arial" w:hAnsi="Arial" w:cs="Arial"/>
          <w:sz w:val="22"/>
        </w:rPr>
        <w:t xml:space="preserve">entschieden, dass die Durchführung einer Umweltverträglichkeitsprüfung </w:t>
      </w:r>
      <w:r w:rsidR="00074C2A">
        <w:rPr>
          <w:rFonts w:ascii="Arial" w:hAnsi="Arial" w:cs="Arial"/>
          <w:b/>
          <w:sz w:val="22"/>
          <w:u w:val="single"/>
        </w:rPr>
        <w:t>nicht</w:t>
      </w:r>
      <w:r w:rsidR="00074C2A">
        <w:rPr>
          <w:rFonts w:ascii="Arial" w:hAnsi="Arial" w:cs="Arial"/>
          <w:sz w:val="22"/>
        </w:rPr>
        <w:t xml:space="preserve"> notwendig ist.</w:t>
      </w:r>
      <w:r w:rsidR="0014599E">
        <w:rPr>
          <w:rFonts w:ascii="Arial" w:hAnsi="Arial" w:cs="Arial"/>
          <w:sz w:val="22"/>
        </w:rPr>
        <w:t xml:space="preserve"> </w:t>
      </w:r>
    </w:p>
    <w:p w:rsidR="006E11A1" w:rsidRDefault="006E11A1" w:rsidP="006E11A1">
      <w:pPr>
        <w:jc w:val="both"/>
        <w:rPr>
          <w:rFonts w:ascii="Arial" w:hAnsi="Arial" w:cs="Arial"/>
          <w:sz w:val="22"/>
        </w:rPr>
      </w:pPr>
    </w:p>
    <w:p w:rsidR="0014599E" w:rsidRDefault="006E11A1" w:rsidP="006E11A1">
      <w:pPr>
        <w:jc w:val="both"/>
        <w:rPr>
          <w:rFonts w:ascii="Arial" w:hAnsi="Arial" w:cs="Arial"/>
          <w:sz w:val="22"/>
        </w:rPr>
      </w:pPr>
      <w:r w:rsidRPr="006E11A1">
        <w:rPr>
          <w:rFonts w:ascii="Arial" w:hAnsi="Arial" w:cs="Arial"/>
          <w:sz w:val="22"/>
        </w:rPr>
        <w:t>Das Ergebnis der Vorprüfung wird hiermit nach § 5 Abs. 2 UVPG öffentlich bekannt gegeben und ist gemäß § 5 Abs. 3 Satz 1 UVPG nicht selbstständig anfechtbar.</w:t>
      </w:r>
    </w:p>
    <w:p w:rsidR="006E11A1" w:rsidRDefault="006E11A1" w:rsidP="006E11A1">
      <w:pPr>
        <w:jc w:val="both"/>
        <w:rPr>
          <w:rFonts w:ascii="Arial" w:hAnsi="Arial" w:cs="Arial"/>
          <w:sz w:val="22"/>
        </w:rPr>
      </w:pPr>
    </w:p>
    <w:p w:rsidR="00074C2A" w:rsidRDefault="00074C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Auftrag</w:t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</w:r>
      <w:r w:rsidR="00157A7E">
        <w:rPr>
          <w:rFonts w:ascii="Arial" w:hAnsi="Arial" w:cs="Arial"/>
          <w:sz w:val="22"/>
        </w:rPr>
        <w:tab/>
        <w:t>Niemeyer</w:t>
      </w:r>
    </w:p>
    <w:p w:rsidR="00074C2A" w:rsidRDefault="00074C2A">
      <w:pPr>
        <w:jc w:val="both"/>
        <w:rPr>
          <w:rFonts w:ascii="Arial" w:hAnsi="Arial" w:cs="Arial"/>
          <w:sz w:val="22"/>
        </w:rPr>
      </w:pPr>
    </w:p>
    <w:p w:rsidR="0014599E" w:rsidRDefault="0014599E">
      <w:pPr>
        <w:jc w:val="both"/>
        <w:rPr>
          <w:rFonts w:ascii="Arial" w:hAnsi="Arial" w:cs="Arial"/>
          <w:sz w:val="22"/>
        </w:rPr>
      </w:pPr>
    </w:p>
    <w:sectPr w:rsidR="0014599E">
      <w:headerReference w:type="default" r:id="rId7"/>
      <w:pgSz w:w="11906" w:h="16838"/>
      <w:pgMar w:top="567" w:right="1134" w:bottom="130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97" w:rsidRDefault="00597097">
      <w:r>
        <w:separator/>
      </w:r>
    </w:p>
  </w:endnote>
  <w:endnote w:type="continuationSeparator" w:id="0">
    <w:p w:rsidR="00597097" w:rsidRDefault="0059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97" w:rsidRDefault="00597097">
      <w:r>
        <w:separator/>
      </w:r>
    </w:p>
  </w:footnote>
  <w:footnote w:type="continuationSeparator" w:id="0">
    <w:p w:rsidR="00597097" w:rsidRDefault="0059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DE" w:rsidRDefault="00E051DE">
    <w:pPr>
      <w:pStyle w:val="Kopfzeile"/>
      <w:jc w:val="center"/>
      <w:rPr>
        <w:u w:val="single"/>
      </w:rPr>
    </w:pPr>
  </w:p>
  <w:p w:rsidR="00E051DE" w:rsidRDefault="00E051DE">
    <w:pPr>
      <w:pStyle w:val="Kopfzeile"/>
      <w:jc w:val="center"/>
      <w:rPr>
        <w:u w:val="single"/>
      </w:rPr>
    </w:pPr>
  </w:p>
  <w:p w:rsidR="00E051DE" w:rsidRDefault="00E051DE">
    <w:pPr>
      <w:pStyle w:val="Kopfzeile"/>
      <w:jc w:val="center"/>
      <w:rPr>
        <w:u w:val="single"/>
      </w:rPr>
    </w:pPr>
  </w:p>
  <w:p w:rsidR="00E051DE" w:rsidRDefault="00E051DE">
    <w:pPr>
      <w:pStyle w:val="Kopfzeile"/>
      <w:rPr>
        <w:sz w:val="20"/>
        <w:u w:val="single"/>
      </w:rPr>
    </w:pPr>
    <w:r>
      <w:rPr>
        <w:sz w:val="20"/>
        <w:u w:val="single"/>
      </w:rPr>
      <w:tab/>
    </w:r>
    <w:r>
      <w:rPr>
        <w:sz w:val="20"/>
        <w:u w:val="single"/>
      </w:rPr>
      <w:tab/>
      <w:t xml:space="preserve">Seite </w:t>
    </w:r>
    <w:r>
      <w:rPr>
        <w:sz w:val="20"/>
        <w:u w:val="single"/>
      </w:rPr>
      <w:fldChar w:fldCharType="begin"/>
    </w:r>
    <w:r>
      <w:rPr>
        <w:sz w:val="20"/>
        <w:u w:val="single"/>
      </w:rPr>
      <w:instrText>PAGE</w:instrText>
    </w:r>
    <w:r>
      <w:rPr>
        <w:sz w:val="20"/>
        <w:u w:val="single"/>
      </w:rPr>
      <w:fldChar w:fldCharType="separate"/>
    </w:r>
    <w:r w:rsidR="0014599E">
      <w:rPr>
        <w:noProof/>
        <w:sz w:val="20"/>
        <w:u w:val="single"/>
      </w:rPr>
      <w:t>2</w:t>
    </w:r>
    <w:r>
      <w:rPr>
        <w:sz w:val="20"/>
        <w:u w:val="single"/>
      </w:rPr>
      <w:fldChar w:fldCharType="end"/>
    </w:r>
    <w:r>
      <w:rPr>
        <w:sz w:val="20"/>
        <w:u w:val="single"/>
      </w:rPr>
      <w:t xml:space="preserve"> zur Bekanntmachung vom </w:t>
    </w:r>
    <w:r>
      <w:rPr>
        <w:sz w:val="20"/>
        <w:u w:val="single"/>
      </w:rPr>
      <w:fldChar w:fldCharType="begin"/>
    </w:r>
    <w:r>
      <w:rPr>
        <w:sz w:val="20"/>
        <w:u w:val="single"/>
      </w:rPr>
      <w:instrText xml:space="preserve"> TIME \@ "dd.MM.yy" </w:instrText>
    </w:r>
    <w:r>
      <w:rPr>
        <w:sz w:val="20"/>
        <w:u w:val="single"/>
      </w:rPr>
      <w:fldChar w:fldCharType="separate"/>
    </w:r>
    <w:r w:rsidR="004F7D98">
      <w:rPr>
        <w:noProof/>
        <w:sz w:val="20"/>
        <w:u w:val="single"/>
      </w:rPr>
      <w:t>13.10.22</w:t>
    </w:r>
    <w:r>
      <w:rPr>
        <w:sz w:val="20"/>
        <w:u w:val="single"/>
      </w:rPr>
      <w:fldChar w:fldCharType="end"/>
    </w:r>
  </w:p>
  <w:p w:rsidR="00E051DE" w:rsidRDefault="00E051DE">
    <w:pPr>
      <w:pStyle w:val="Kopfzeile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9CD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C61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DC6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523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083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60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62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82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045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0AF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05007"/>
    <w:multiLevelType w:val="hybridMultilevel"/>
    <w:tmpl w:val="8D707C84"/>
    <w:lvl w:ilvl="0" w:tplc="6A78D7A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397C930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5E1F"/>
    <w:multiLevelType w:val="hybridMultilevel"/>
    <w:tmpl w:val="2D0A4394"/>
    <w:lvl w:ilvl="0" w:tplc="F6F0D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0926"/>
    <w:multiLevelType w:val="hybridMultilevel"/>
    <w:tmpl w:val="7B725D6C"/>
    <w:lvl w:ilvl="0" w:tplc="9FF28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4"/>
    <w:rsid w:val="00071A71"/>
    <w:rsid w:val="00074C2A"/>
    <w:rsid w:val="000A556B"/>
    <w:rsid w:val="00106661"/>
    <w:rsid w:val="0014599E"/>
    <w:rsid w:val="00157A7E"/>
    <w:rsid w:val="001E5295"/>
    <w:rsid w:val="00213232"/>
    <w:rsid w:val="002437F0"/>
    <w:rsid w:val="002453C9"/>
    <w:rsid w:val="002E0B59"/>
    <w:rsid w:val="00330C04"/>
    <w:rsid w:val="00373D82"/>
    <w:rsid w:val="003862F2"/>
    <w:rsid w:val="003A4B4D"/>
    <w:rsid w:val="004533BA"/>
    <w:rsid w:val="004664E4"/>
    <w:rsid w:val="004F78C3"/>
    <w:rsid w:val="004F7D98"/>
    <w:rsid w:val="005209C4"/>
    <w:rsid w:val="00521A92"/>
    <w:rsid w:val="005812E8"/>
    <w:rsid w:val="00597097"/>
    <w:rsid w:val="005D536B"/>
    <w:rsid w:val="005E7164"/>
    <w:rsid w:val="0062020E"/>
    <w:rsid w:val="00626A4A"/>
    <w:rsid w:val="006552FA"/>
    <w:rsid w:val="006A51A8"/>
    <w:rsid w:val="006D50A5"/>
    <w:rsid w:val="006E11A1"/>
    <w:rsid w:val="006E1954"/>
    <w:rsid w:val="006F04F8"/>
    <w:rsid w:val="00705E49"/>
    <w:rsid w:val="00777DAC"/>
    <w:rsid w:val="00787B1B"/>
    <w:rsid w:val="007A11DF"/>
    <w:rsid w:val="00833F5A"/>
    <w:rsid w:val="008A08E2"/>
    <w:rsid w:val="00904E9E"/>
    <w:rsid w:val="00953216"/>
    <w:rsid w:val="009A3502"/>
    <w:rsid w:val="009D7058"/>
    <w:rsid w:val="009E6E63"/>
    <w:rsid w:val="009E7070"/>
    <w:rsid w:val="00A24327"/>
    <w:rsid w:val="00A623B3"/>
    <w:rsid w:val="00A623D4"/>
    <w:rsid w:val="00A8797D"/>
    <w:rsid w:val="00B04A07"/>
    <w:rsid w:val="00B22154"/>
    <w:rsid w:val="00B744C8"/>
    <w:rsid w:val="00BA4551"/>
    <w:rsid w:val="00C1294E"/>
    <w:rsid w:val="00C25B1E"/>
    <w:rsid w:val="00D03AEE"/>
    <w:rsid w:val="00D9096F"/>
    <w:rsid w:val="00D91765"/>
    <w:rsid w:val="00E02895"/>
    <w:rsid w:val="00E051DE"/>
    <w:rsid w:val="00E15602"/>
    <w:rsid w:val="00E161B2"/>
    <w:rsid w:val="00E24879"/>
    <w:rsid w:val="00E33621"/>
    <w:rsid w:val="00F422C6"/>
    <w:rsid w:val="00F55534"/>
    <w:rsid w:val="00F75EE7"/>
    <w:rsid w:val="00F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F9BEB"/>
  <w15:docId w15:val="{E323AE02-C8BE-4E27-BC4F-B5215D0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38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-Arbeitsentwurf-</vt:lpstr>
    </vt:vector>
  </TitlesOfParts>
  <Company>StUA Bielefeld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-Arbeitsentwurf-</dc:title>
  <dc:creator>U. Rehage</dc:creator>
  <cp:lastModifiedBy>Niemeyer, Martin</cp:lastModifiedBy>
  <cp:revision>7</cp:revision>
  <cp:lastPrinted>2014-08-11T09:34:00Z</cp:lastPrinted>
  <dcterms:created xsi:type="dcterms:W3CDTF">2017-06-27T08:34:00Z</dcterms:created>
  <dcterms:modified xsi:type="dcterms:W3CDTF">2022-10-13T06:37:00Z</dcterms:modified>
</cp:coreProperties>
</file>