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Köln, den 29.04.2025</w:t>
      </w:r>
    </w:p>
    <w:p>
      <w:pPr>
        <w:autoSpaceDE w:val="0"/>
        <w:autoSpaceDN w:val="0"/>
        <w:adjustRightInd w:val="0"/>
        <w:spacing w:after="0" w:line="240" w:lineRule="auto"/>
        <w:rPr>
          <w:rFonts w:eastAsia="Times New Roman" w:cs="Arial"/>
          <w:b/>
          <w:szCs w:val="24"/>
          <w:lang w:eastAsia="de-DE"/>
        </w:rPr>
      </w:pPr>
    </w:p>
    <w:p>
      <w:pPr>
        <w:autoSpaceDE w:val="0"/>
        <w:autoSpaceDN w:val="0"/>
        <w:adjustRightInd w:val="0"/>
        <w:spacing w:after="0" w:line="240" w:lineRule="auto"/>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both"/>
        <w:rPr>
          <w:rFonts w:eastAsia="Times New Roman" w:cs="Arial"/>
          <w:b/>
          <w:szCs w:val="24"/>
          <w:lang w:eastAsia="de-DE"/>
        </w:rPr>
      </w:pPr>
      <w:r>
        <w:rPr>
          <w:rFonts w:eastAsia="Times New Roman" w:cs="Arial"/>
          <w:b/>
          <w:szCs w:val="24"/>
          <w:lang w:eastAsia="de-DE"/>
        </w:rPr>
        <w:t>Az.: 53-2024-0143310</w:t>
      </w:r>
    </w:p>
    <w:p>
      <w:pPr>
        <w:autoSpaceDE w:val="0"/>
        <w:autoSpaceDN w:val="0"/>
        <w:adjustRightInd w:val="0"/>
        <w:spacing w:after="0" w:line="240" w:lineRule="auto"/>
        <w:rPr>
          <w:rFonts w:eastAsia="Times New Roman" w:cs="Arial"/>
          <w:szCs w:val="24"/>
          <w:lang w:eastAsia="de-DE"/>
        </w:rPr>
      </w:pPr>
    </w:p>
    <w:p>
      <w:pPr>
        <w:pStyle w:val="NurText"/>
        <w:widowControl w:val="0"/>
        <w:spacing w:before="100" w:line="280" w:lineRule="exact"/>
        <w:jc w:val="both"/>
        <w:rPr>
          <w:rFonts w:ascii="Arial" w:hAnsi="Arial" w:cs="Arial"/>
          <w:sz w:val="24"/>
          <w:szCs w:val="24"/>
        </w:rPr>
      </w:pPr>
      <w:r>
        <w:rPr>
          <w:rFonts w:ascii="Arial" w:hAnsi="Arial" w:cs="Arial"/>
          <w:sz w:val="24"/>
          <w:szCs w:val="24"/>
        </w:rPr>
        <w:t>Auf der Grundlage des § 5 Absatz 2 des Gesetzes über die Umweltverträglichkeitsprüfung (UVPG) wird hiermit folgendes bekannt gegeben:</w:t>
      </w:r>
    </w:p>
    <w:p>
      <w:pPr>
        <w:pStyle w:val="NurText"/>
        <w:widowControl w:val="0"/>
        <w:spacing w:before="100" w:line="280" w:lineRule="exact"/>
        <w:jc w:val="both"/>
        <w:rPr>
          <w:rFonts w:ascii="Arial" w:hAnsi="Arial" w:cs="Arial"/>
          <w:sz w:val="24"/>
          <w:szCs w:val="24"/>
        </w:rPr>
      </w:pPr>
    </w:p>
    <w:p>
      <w:pPr>
        <w:pStyle w:val="NurText"/>
        <w:widowControl w:val="0"/>
        <w:spacing w:before="100" w:line="280" w:lineRule="exact"/>
        <w:jc w:val="both"/>
        <w:rPr>
          <w:rFonts w:cs="Arial"/>
          <w:szCs w:val="24"/>
        </w:rPr>
      </w:pPr>
      <w:r>
        <w:rPr>
          <w:rFonts w:ascii="Arial" w:hAnsi="Arial" w:cs="Arial"/>
          <w:sz w:val="24"/>
          <w:szCs w:val="24"/>
        </w:rPr>
        <w:t>Die RI Research Instruments GmbH hat gem. § 4 Bundes-Immissionsschutzgesetz (BImSchG) die Genehmigung zur Errichtung und zum Betrieb einer Anlage zur Oberflächenbehandlung mit einem Volumen der Wirkbäder von 1 Kubikmeter bis weniger als 30 Kubikmeter bei der Behandlung Metalloberflächen durch Beizen oder Brennen unter Verwendung von Fluss- oder Salpetersäure in 51429 Bergisch Gladbach, Heinz-</w:t>
      </w:r>
      <w:proofErr w:type="spellStart"/>
      <w:r>
        <w:rPr>
          <w:rFonts w:ascii="Arial" w:hAnsi="Arial" w:cs="Arial"/>
          <w:sz w:val="24"/>
          <w:szCs w:val="24"/>
        </w:rPr>
        <w:t>Fröling</w:t>
      </w:r>
      <w:proofErr w:type="spellEnd"/>
      <w:r>
        <w:rPr>
          <w:rFonts w:ascii="Arial" w:hAnsi="Arial" w:cs="Arial"/>
          <w:sz w:val="24"/>
          <w:szCs w:val="24"/>
        </w:rPr>
        <w:t xml:space="preserve">-Straße 8, Gemarkung Bensberg </w:t>
      </w:r>
      <w:proofErr w:type="spellStart"/>
      <w:r>
        <w:rPr>
          <w:rFonts w:ascii="Arial" w:hAnsi="Arial" w:cs="Arial"/>
          <w:sz w:val="24"/>
          <w:szCs w:val="24"/>
        </w:rPr>
        <w:t>Honschaft</w:t>
      </w:r>
      <w:proofErr w:type="spellEnd"/>
      <w:r>
        <w:rPr>
          <w:rFonts w:ascii="Arial" w:hAnsi="Arial" w:cs="Arial"/>
          <w:sz w:val="24"/>
          <w:szCs w:val="24"/>
        </w:rPr>
        <w:t>, Flur 9, Flurstücke 710 beantragt. Der Genehmigungsantrag beinhaltet in der Hauptsache die Errichtung und den Betrieb einer Anlage zur Oberflächenbehandlung von Werkstücken.</w:t>
      </w:r>
    </w:p>
    <w:p>
      <w:pPr>
        <w:pStyle w:val="NurText"/>
        <w:widowControl w:val="0"/>
        <w:spacing w:before="100" w:line="280" w:lineRule="exact"/>
        <w:jc w:val="both"/>
        <w:rPr>
          <w:rFonts w:ascii="Arial" w:hAnsi="Arial" w:cs="Arial"/>
          <w:sz w:val="24"/>
          <w:szCs w:val="24"/>
        </w:rPr>
      </w:pPr>
      <w:r>
        <w:rPr>
          <w:rFonts w:ascii="Arial" w:hAnsi="Arial" w:cs="Arial"/>
          <w:sz w:val="24"/>
          <w:szCs w:val="24"/>
        </w:rPr>
        <w:t>Bei dem vorliegenden Antrag handelt es sich um die Änderung eines Vorhabens nach Nr. 3.9.2 der Anlage 1 des UVPG. Für das Neuvorhaben ist nach § 7 Abs. 2 Satz 1 Nr. 2 UVPG im Rahmen des immissionsschutzrechtlichen Genehmigungsverfahrens eine standortbezogene Vorprüfung des Einzelfalls durchzuführen.</w:t>
      </w:r>
      <w:r>
        <w:rPr>
          <w:rFonts w:ascii="Arial" w:hAnsi="Arial" w:cs="Arial"/>
          <w:sz w:val="24"/>
          <w:szCs w:val="24"/>
        </w:rPr>
        <w:cr/>
      </w:r>
    </w:p>
    <w:p>
      <w:pPr>
        <w:pStyle w:val="NurText"/>
        <w:widowControl w:val="0"/>
        <w:spacing w:before="100" w:line="280" w:lineRule="exact"/>
        <w:jc w:val="both"/>
        <w:rPr>
          <w:rFonts w:ascii="Arial" w:hAnsi="Arial" w:cs="Arial"/>
          <w:sz w:val="24"/>
          <w:szCs w:val="24"/>
        </w:rPr>
      </w:pPr>
      <w:r>
        <w:rPr>
          <w:rFonts w:ascii="Arial" w:hAnsi="Arial" w:cs="Arial"/>
          <w:sz w:val="24"/>
          <w:szCs w:val="24"/>
        </w:rPr>
        <w:t>Die standortbezogene Vorprüfung wird als überschlägige Prüfung durchgeführt. Diese hat ergeben, dass zusätzliche erhebliche nachteilige Auswirkungen hinsichtlich der sich in der Nähe befindlichen Schutzgebiete und Naturschutzgüter nicht zu erwarten sind.</w:t>
      </w:r>
    </w:p>
    <w:p>
      <w:pPr>
        <w:pStyle w:val="NurText"/>
        <w:widowControl w:val="0"/>
        <w:spacing w:before="100" w:line="280" w:lineRule="exact"/>
        <w:jc w:val="both"/>
        <w:rPr>
          <w:rFonts w:ascii="Arial" w:hAnsi="Arial" w:cs="Arial"/>
          <w:sz w:val="24"/>
          <w:szCs w:val="24"/>
        </w:rPr>
      </w:pPr>
      <w:r>
        <w:rPr>
          <w:rFonts w:ascii="Arial" w:hAnsi="Arial" w:cs="Arial"/>
          <w:sz w:val="24"/>
          <w:szCs w:val="24"/>
        </w:rPr>
        <w:t>Insbesondere resultieren aus dem Änderungsvorhaben keine relevanten Luftverunreinigungen aus direkten Quellen. Aus der vorliegenden detaillierten Immissionsprognose nach den Vorgaben der TA-Lärm geht hervor, dass sich das Vorhaben auf die Schallimmissionssituation in der Umgebung insgesamt nicht relevant auswirkt. Eine Gefährdung des Wassers ist ebenfalls nicht zu besorgen, da wassergefährdende Stoffe der Verordnung über Anlagen zum Umgang mit wassergefährdenden Stoffen (AwSV) entsprechend gehandhabt werden. Die durch das Vorhaben anfallenden Abfälle werden nach den Vorgaben des Kreislaufwirtschaftsgesetzes ordnungsgemäß verwertet bzw. beseitigt. Damit ist die Durchführung einer Umweltverträglichkeitsprüfung in diesem Verfahren entbehrlich.</w:t>
      </w:r>
    </w:p>
    <w:p>
      <w:pPr>
        <w:autoSpaceDE w:val="0"/>
        <w:autoSpaceDN w:val="0"/>
        <w:adjustRightInd w:val="0"/>
        <w:spacing w:after="0" w:line="240" w:lineRule="auto"/>
        <w:rPr>
          <w:rFonts w:eastAsia="Times New Roman" w:cs="Arial"/>
          <w:color w:val="FF0000"/>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gez. Rucman </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CCCF1-8A55-4CB5-802C-05FE11E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Koch, Antje</dc:creator>
  <cp:lastModifiedBy>Rygol, Stefan</cp:lastModifiedBy>
  <cp:revision>6</cp:revision>
  <cp:lastPrinted>2018-11-23T13:51:00Z</cp:lastPrinted>
  <dcterms:created xsi:type="dcterms:W3CDTF">2024-01-30T12:22:00Z</dcterms:created>
  <dcterms:modified xsi:type="dcterms:W3CDTF">2025-04-29T06:35:00Z</dcterms:modified>
</cp:coreProperties>
</file>

<file path=docProps/custom.xml><?xml version="1.0" encoding="utf-8"?>
<Properties xmlns="http://schemas.openxmlformats.org/officeDocument/2006/custom-properties" xmlns:vt="http://schemas.openxmlformats.org/officeDocument/2006/docPropsVTypes">
  <property fmtid="{F21D9941-81F0-471A-ADEE-4E74B49217ED}" pid="100">
    <vt:lpwstr>nscale::8a4ac8a8-876fa459-0187-6fa474b5-0002::eGOV$NOTSET$2556896$2$NOTSET::0::eva046.e-akte.nrw.de::443::nscalealinst1::BR Köln</vt:lpwstr>
  </property>
</Properties>
</file>