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H2HS Wasserstoffversorgung Heinsberg GmbH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t>Köln, 04.09.2023</w:t>
      </w:r>
      <w:bookmarkStart w:id="0" w:name="_GoBack"/>
      <w:bookmarkEnd w:id="0"/>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Az.: </w:t>
      </w:r>
      <w:r>
        <w:rPr>
          <w:rFonts w:eastAsia="Times New Roman" w:cs="Arial"/>
          <w:noProof/>
          <w:szCs w:val="24"/>
          <w:lang w:eastAsia="de-DE"/>
        </w:rPr>
        <w:t>300-53.0025/23/Ho</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noProof/>
          <w:szCs w:val="24"/>
          <w:lang w:eastAsia="de-DE"/>
        </w:rPr>
      </w:pPr>
      <w:r>
        <w:rPr>
          <w:rFonts w:eastAsia="Times New Roman" w:cs="Arial"/>
          <w:szCs w:val="24"/>
          <w:lang w:eastAsia="de-DE"/>
        </w:rPr>
        <w:t xml:space="preserve">Die Firma </w:t>
      </w:r>
      <w:r>
        <w:rPr>
          <w:rFonts w:eastAsia="Times New Roman" w:cs="Arial"/>
          <w:noProof/>
          <w:szCs w:val="24"/>
          <w:lang w:eastAsia="de-DE"/>
        </w:rPr>
        <w:t>H2HS Wasserstoffversorgung Heinsberg GmbH</w:t>
      </w:r>
      <w:r>
        <w:rPr>
          <w:rFonts w:eastAsia="Times New Roman" w:cs="Arial"/>
          <w:szCs w:val="24"/>
          <w:lang w:eastAsia="de-DE"/>
        </w:rPr>
        <w:t xml:space="preserve"> hat gem. § 4 Bundes-Immissionsschutzgesetz (BImSchG) die Genehmigung im Industriepark Heinsberg-Oberbruch, </w:t>
      </w:r>
      <w:proofErr w:type="spellStart"/>
      <w:r>
        <w:rPr>
          <w:rFonts w:eastAsia="Times New Roman" w:cs="Arial"/>
          <w:szCs w:val="24"/>
          <w:lang w:eastAsia="de-DE"/>
        </w:rPr>
        <w:t>Borsigstr</w:t>
      </w:r>
      <w:proofErr w:type="spellEnd"/>
      <w:r>
        <w:rPr>
          <w:rFonts w:eastAsia="Times New Roman" w:cs="Arial"/>
          <w:szCs w:val="24"/>
          <w:lang w:eastAsia="de-DE"/>
        </w:rPr>
        <w:t>., 52525 Heinsberg, Gemarkung Oberbruch</w:t>
      </w:r>
      <w:r>
        <w:rPr>
          <w:rFonts w:eastAsia="Times New Roman" w:cs="Arial"/>
          <w:noProof/>
          <w:szCs w:val="24"/>
          <w:lang w:eastAsia="de-DE"/>
        </w:rPr>
        <w:t>,</w:t>
      </w:r>
      <w:r>
        <w:rPr>
          <w:rFonts w:eastAsia="Times New Roman" w:cs="Arial"/>
          <w:szCs w:val="24"/>
          <w:lang w:eastAsia="de-DE"/>
        </w:rPr>
        <w:t xml:space="preserve"> Flur 021, Flurstück 262</w:t>
      </w:r>
      <w:r>
        <w:rPr>
          <w:rFonts w:eastAsia="Times New Roman" w:cs="Arial"/>
          <w:noProof/>
          <w:szCs w:val="24"/>
          <w:lang w:eastAsia="de-DE"/>
        </w:rPr>
        <w:t>,</w:t>
      </w:r>
      <w:r>
        <w:rPr>
          <w:rFonts w:eastAsia="Times New Roman" w:cs="Arial"/>
          <w:szCs w:val="24"/>
          <w:lang w:eastAsia="de-DE"/>
        </w:rPr>
        <w:t xml:space="preserve"> beantragt. Der Genehmigungsantrag beinhaltet </w:t>
      </w:r>
      <w:r>
        <w:rPr>
          <w:rFonts w:eastAsia="Times New Roman" w:cs="Arial"/>
          <w:noProof/>
          <w:szCs w:val="24"/>
          <w:lang w:eastAsia="de-DE"/>
        </w:rPr>
        <w:t>die Errichtung und den Betrieb des Elektrolyseurs inklusive Nebenanlagen, insbesondere Lagerbehälter, eine Abfüllanlage sowie eine Wasserstoff-Tankstelle.</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Bei dem vorliegenden Antrag handelt es sich um ein Neuvorhaben nach Nr. 4.2 der Anlage 1 des UVPG. Es wurde eine allgemeine Vorprüfung nach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entstehen aufgrund der verwendeten Technik keine Luftverunreinigungen. Die Schallimmissionen liegen an allen Immissionsorten um mindestens 14 dB(A) unter dem Richtwert. Es entstehen keine relevanten Abfallmengen. Die Anlage wirkt sich nicht relevant auf den Artenschutz aus, da die Errichtung in einem ausgewiesenen Industriegebiet erfolgt und in dem Anlagenbereich keine Habitatstrukturen vorhanden sind. Die im Rahmen der Errichtung versiegelte Fläche ist arten- und bodenschutzrechtlich nicht als besonders wertvoll einzustufen und ist planungsrechtlich bereits als Industriefläche ausgewiesen. Eine Gefährdung des Wassers ist ebenfalls nicht zu besorgen, da die Anlagen aufgrund der geringen Gefährdung nicht unter die AwSV fallen. Für die anfallenden, gering belasteten Abwässer ist eine Ableitung zur Kläranlage vorgesehen.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Marina Hoffmann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Klaiber, Kristina</cp:lastModifiedBy>
  <cp:revision>2</cp:revision>
  <dcterms:created xsi:type="dcterms:W3CDTF">2023-08-23T11:16:00Z</dcterms:created>
  <dcterms:modified xsi:type="dcterms:W3CDTF">2023-08-23T11:16:00Z</dcterms:modified>
</cp:coreProperties>
</file>