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über die Feststellung der UVP-Pflicht für ein Vorhaben</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 xml:space="preserve">der Firma </w:t>
      </w:r>
      <w:r>
        <w:rPr>
          <w:rFonts w:eastAsia="Times New Roman" w:cs="Arial"/>
          <w:b/>
          <w:noProof/>
          <w:szCs w:val="24"/>
          <w:lang w:eastAsia="de-DE"/>
        </w:rPr>
        <w:t>Schmidt + Clemens GmbH + Co.KG, Lindlar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Bezirksregierung Köln</w:t>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proofErr w:type="spellStart"/>
      <w:r>
        <w:rPr>
          <w:rFonts w:eastAsia="Times New Roman" w:cs="Arial"/>
          <w:szCs w:val="24"/>
          <w:lang w:eastAsia="de-DE"/>
        </w:rPr>
        <w:t>Köln</w:t>
      </w:r>
      <w:proofErr w:type="spellEnd"/>
      <w:r>
        <w:rPr>
          <w:rFonts w:eastAsia="Times New Roman" w:cs="Arial"/>
          <w:szCs w:val="24"/>
          <w:lang w:eastAsia="de-DE"/>
        </w:rPr>
        <w:t>, 10.11.2022</w:t>
      </w:r>
      <w:bookmarkStart w:id="0" w:name="_GoBack"/>
      <w:bookmarkEnd w:id="0"/>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 xml:space="preserve">Az.: </w:t>
      </w:r>
      <w:r>
        <w:rPr>
          <w:rFonts w:eastAsia="Times New Roman" w:cs="Arial"/>
          <w:noProof/>
          <w:szCs w:val="24"/>
          <w:lang w:eastAsia="de-DE"/>
        </w:rPr>
        <w:t>300-53.0061/22/Krö</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Auf der Grundlage des § 5 Absatz 2 des Gesetzes über die Umweltverträglich</w:t>
      </w:r>
      <w:r>
        <w:rPr>
          <w:rFonts w:eastAsia="Times New Roman" w:cs="Arial"/>
          <w:szCs w:val="24"/>
          <w:lang w:eastAsia="de-DE"/>
        </w:rPr>
        <w:softHyphen/>
        <w:t>keitsprüfung (UVPG) wird hiermit folgendes bekannt gegeben: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 xml:space="preserve">Die Firma </w:t>
      </w:r>
      <w:r>
        <w:rPr>
          <w:rFonts w:eastAsia="Times New Roman" w:cs="Arial"/>
          <w:noProof/>
          <w:szCs w:val="24"/>
          <w:lang w:eastAsia="de-DE"/>
        </w:rPr>
        <w:t>Schmidt + Clemens GmbH + Co.KG</w:t>
      </w:r>
      <w:r>
        <w:rPr>
          <w:rFonts w:eastAsia="Times New Roman" w:cs="Arial"/>
          <w:szCs w:val="24"/>
          <w:lang w:eastAsia="de-DE"/>
        </w:rPr>
        <w:t xml:space="preserve"> hat gem. § </w:t>
      </w:r>
      <w:r>
        <w:rPr>
          <w:rFonts w:eastAsia="Times New Roman" w:cs="Arial"/>
          <w:noProof/>
          <w:szCs w:val="24"/>
          <w:lang w:eastAsia="de-DE"/>
        </w:rPr>
        <w:t>4</w:t>
      </w:r>
      <w:r>
        <w:rPr>
          <w:rFonts w:eastAsia="Times New Roman" w:cs="Arial"/>
          <w:szCs w:val="24"/>
          <w:lang w:eastAsia="de-DE"/>
        </w:rPr>
        <w:t xml:space="preserve"> Bundes-Immissionsschutzgesetz (BImSchG) die Genehmigung zur Errichtung der Anlage „</w:t>
      </w:r>
      <w:r>
        <w:rPr>
          <w:rFonts w:eastAsia="Times New Roman" w:cs="Arial"/>
          <w:noProof/>
          <w:szCs w:val="24"/>
          <w:lang w:eastAsia="de-DE"/>
        </w:rPr>
        <w:t>LNG Gaslagertankanlage</w:t>
      </w:r>
      <w:r>
        <w:rPr>
          <w:rFonts w:eastAsia="Times New Roman" w:cs="Arial"/>
          <w:szCs w:val="24"/>
          <w:lang w:eastAsia="de-DE"/>
        </w:rPr>
        <w:t xml:space="preserve">“ in </w:t>
      </w:r>
      <w:r>
        <w:rPr>
          <w:rFonts w:eastAsia="Times New Roman" w:cs="Arial"/>
          <w:noProof/>
          <w:szCs w:val="24"/>
          <w:lang w:eastAsia="de-DE"/>
        </w:rPr>
        <w:t>Lindlar</w:t>
      </w:r>
      <w:r>
        <w:rPr>
          <w:rFonts w:eastAsia="Times New Roman" w:cs="Arial"/>
          <w:szCs w:val="24"/>
          <w:lang w:eastAsia="de-DE"/>
        </w:rPr>
        <w:t xml:space="preserve">, Gemarkung </w:t>
      </w:r>
      <w:r>
        <w:rPr>
          <w:rFonts w:eastAsia="Times New Roman" w:cs="Arial"/>
          <w:noProof/>
          <w:szCs w:val="24"/>
          <w:lang w:eastAsia="de-DE"/>
        </w:rPr>
        <w:t>Breun</w:t>
      </w:r>
      <w:r>
        <w:rPr>
          <w:rFonts w:eastAsia="Times New Roman" w:cs="Arial"/>
          <w:szCs w:val="24"/>
          <w:lang w:eastAsia="de-DE"/>
        </w:rPr>
        <w:t xml:space="preserve"> Flur </w:t>
      </w:r>
      <w:r>
        <w:rPr>
          <w:rFonts w:eastAsia="Times New Roman" w:cs="Arial"/>
          <w:noProof/>
          <w:szCs w:val="24"/>
          <w:lang w:eastAsia="de-DE"/>
        </w:rPr>
        <w:t>64</w:t>
      </w:r>
      <w:r>
        <w:rPr>
          <w:rFonts w:eastAsia="Times New Roman" w:cs="Arial"/>
          <w:szCs w:val="24"/>
          <w:lang w:eastAsia="de-DE"/>
        </w:rPr>
        <w:t xml:space="preserve"> Flurstück </w:t>
      </w:r>
      <w:r>
        <w:rPr>
          <w:rFonts w:eastAsia="Times New Roman" w:cs="Arial"/>
          <w:noProof/>
          <w:szCs w:val="24"/>
          <w:lang w:eastAsia="de-DE"/>
        </w:rPr>
        <w:t>13</w:t>
      </w:r>
      <w:r>
        <w:rPr>
          <w:rFonts w:eastAsia="Times New Roman" w:cs="Arial"/>
          <w:szCs w:val="24"/>
          <w:lang w:eastAsia="de-DE"/>
        </w:rPr>
        <w:t xml:space="preserve"> beantragt. Der Genehmigungsantrag beinhaltet </w:t>
      </w:r>
    </w:p>
    <w:p>
      <w:pPr>
        <w:pStyle w:val="Listenabsatz"/>
        <w:numPr>
          <w:ilvl w:val="0"/>
          <w:numId w:val="1"/>
        </w:num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 Errichtung und den Betrieb einer mobilen Anlage zur Lagerung von LNG (Flüssigerdgas) zur Sicherstellung der Gasversorgung mit einer Lagerkapazität von &gt;3 t und &lt; 50 t.</w:t>
      </w:r>
    </w:p>
    <w:p>
      <w:pPr>
        <w:pStyle w:val="NurText"/>
        <w:widowControl w:val="0"/>
        <w:spacing w:before="100" w:line="280" w:lineRule="exact"/>
        <w:jc w:val="both"/>
        <w:rPr>
          <w:rFonts w:ascii="Arial" w:hAnsi="Arial" w:cs="Arial"/>
          <w:sz w:val="24"/>
          <w:szCs w:val="24"/>
        </w:rPr>
      </w:pPr>
      <w:r>
        <w:rPr>
          <w:rFonts w:ascii="Arial" w:hAnsi="Arial" w:cs="Arial"/>
          <w:sz w:val="24"/>
          <w:szCs w:val="24"/>
        </w:rPr>
        <w:t>Bei dem vorliegenden Antrag handelt es sich um die Genehmigung eines Vorhabens nach Nr. 9.1.1.3 der Anlage 1 des UVPG. Es wurde eine allgemeine Vorprüfung nach § 7 Absatz 1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Insbesondere resultieren aus dem Änderungsvorhaben keine relevanten Luftverunreinigungen aufgrund der ausschließlichen Lagerung des verflüssigten Erdgases in einem geschlossenen System. Auf die Schallimmissionssituation in der Umgebung wirkt sich das Vorhaben nicht erheblich aus, da eine Befüllung des Tanks max. einmal pro Woche erfolgen wird. Auswirkungen auf den Natur- und Artenschutz sowie relevante Bodenbelastungen finden nicht statt, da für das Vorhaben keine Fläche neu versiegelt wird. Eine Gefährdung des Wassers ist ebenfalls nicht zu besorgen, da keine wassergefährdenden Stoffe der Verordnung über Anlagen zum Umgang mit wassergefährdenden Stoffen (AwSV) gehandhabt werden. 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gez. Kröger </w:t>
      </w:r>
    </w:p>
    <w:p>
      <w:pPr>
        <w:sectPr>
          <w:pgSz w:w="11906" w:h="16838"/>
          <w:pgMar w:top="1417" w:right="1417" w:bottom="1134" w:left="1417" w:header="708" w:footer="708" w:gutter="0"/>
          <w:pgNumType w:start="1"/>
          <w:cols w:space="708"/>
          <w:docGrid w:linePitch="360"/>
        </w:sectPr>
      </w:pPr>
    </w:p>
    <w:p/>
    <w:sectPr>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E6DA4"/>
    <w:multiLevelType w:val="hybridMultilevel"/>
    <w:tmpl w:val="EBC2039E"/>
    <w:lvl w:ilvl="0" w:tplc="129660E0">
      <w:numFmt w:val="bullet"/>
      <w:lvlText w:val="-"/>
      <w:lvlJc w:val="left"/>
      <w:pPr>
        <w:ind w:left="720" w:hanging="360"/>
      </w:pPr>
      <w:rPr>
        <w:rFonts w:ascii="Arial" w:eastAsia="Times New Roman" w:hAnsi="Arial"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E7DF4-7453-4167-9E56-4FCB2C38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widowControl/>
      <w:autoSpaceDE/>
      <w:autoSpaceDN/>
      <w:adjustRightInd/>
      <w:spacing w:after="200"/>
    </w:pPr>
    <w:rPr>
      <w:rFonts w:ascii="Arial" w:eastAsia="Calibri" w:hAnsi="Arial"/>
      <w:b/>
      <w:bCs/>
      <w:lang w:val="de-DE"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en-US"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 Antje</dc:creator>
  <cp:lastModifiedBy>Kröger, Alke</cp:lastModifiedBy>
  <cp:revision>3</cp:revision>
  <dcterms:created xsi:type="dcterms:W3CDTF">2022-11-09T09:15:00Z</dcterms:created>
  <dcterms:modified xsi:type="dcterms:W3CDTF">2022-11-10T11:36:00Z</dcterms:modified>
</cp:coreProperties>
</file>