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Basell Polyolefine GmbH</w:t>
      </w:r>
      <w:r>
        <w:rPr>
          <w:rFonts w:eastAsia="Times New Roman" w:cs="Arial"/>
          <w:b/>
          <w:szCs w:val="24"/>
          <w:lang w:eastAsia="de-DE"/>
        </w:rPr>
        <w:t xml:space="preserve">, </w:t>
      </w:r>
      <w:r>
        <w:rPr>
          <w:rFonts w:eastAsia="Times New Roman" w:cs="Arial"/>
          <w:b/>
          <w:noProof/>
          <w:szCs w:val="24"/>
          <w:lang w:eastAsia="de-DE"/>
        </w:rPr>
        <w:t>Wesseling</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t>Köln, 10.11.2022</w:t>
      </w: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Az.: </w:t>
      </w:r>
      <w:r>
        <w:rPr>
          <w:rFonts w:eastAsia="Times New Roman" w:cs="Arial"/>
          <w:noProof/>
          <w:szCs w:val="24"/>
          <w:lang w:eastAsia="de-DE"/>
        </w:rPr>
        <w:t>300-53.0041/22/Krö-G16</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Die Firma </w:t>
      </w:r>
      <w:r>
        <w:rPr>
          <w:rFonts w:eastAsia="Times New Roman" w:cs="Arial"/>
          <w:noProof/>
          <w:szCs w:val="24"/>
          <w:lang w:eastAsia="de-DE"/>
        </w:rPr>
        <w:t>Basell Polyolefine GmbH</w:t>
      </w:r>
      <w:r>
        <w:rPr>
          <w:rFonts w:eastAsia="Times New Roman" w:cs="Arial"/>
          <w:szCs w:val="24"/>
          <w:lang w:eastAsia="de-DE"/>
        </w:rPr>
        <w:t xml:space="preserve"> hat gem. § </w:t>
      </w:r>
      <w:r>
        <w:rPr>
          <w:rFonts w:eastAsia="Times New Roman" w:cs="Arial"/>
          <w:noProof/>
          <w:szCs w:val="24"/>
          <w:lang w:eastAsia="de-DE"/>
        </w:rPr>
        <w:t>16</w:t>
      </w:r>
      <w:r>
        <w:rPr>
          <w:rFonts w:eastAsia="Times New Roman" w:cs="Arial"/>
          <w:szCs w:val="24"/>
          <w:lang w:eastAsia="de-DE"/>
        </w:rPr>
        <w:t xml:space="preserve"> Bundes-Immissionsschutzgesetz (BImSchG) die Genehmigung zur wesentlichen Änderung der Anlage „</w:t>
      </w:r>
      <w:r>
        <w:rPr>
          <w:rFonts w:eastAsia="Times New Roman" w:cs="Arial"/>
          <w:noProof/>
          <w:szCs w:val="24"/>
          <w:lang w:eastAsia="de-DE"/>
        </w:rPr>
        <w:t>Tanklager D+E Feld</w:t>
      </w:r>
      <w:bookmarkStart w:id="0" w:name="_GoBack"/>
      <w:bookmarkEnd w:id="0"/>
      <w:r>
        <w:rPr>
          <w:rFonts w:eastAsia="Times New Roman" w:cs="Arial"/>
          <w:szCs w:val="24"/>
          <w:lang w:eastAsia="de-DE"/>
        </w:rPr>
        <w:t xml:space="preserve">“ in </w:t>
      </w:r>
      <w:r>
        <w:rPr>
          <w:rFonts w:eastAsia="Times New Roman" w:cs="Arial"/>
          <w:noProof/>
          <w:szCs w:val="24"/>
          <w:lang w:eastAsia="de-DE"/>
        </w:rPr>
        <w:t>Wesseling</w:t>
      </w:r>
      <w:r>
        <w:rPr>
          <w:rFonts w:eastAsia="Times New Roman" w:cs="Arial"/>
          <w:szCs w:val="24"/>
          <w:lang w:eastAsia="de-DE"/>
        </w:rPr>
        <w:t>, Gemarkung Wesseling, Flur 33, Flurstücke 17, 19 und 20 beantragt. Der Genehmigungsantrag beinhaltet die Sanierung des Schwimmdaches (GFK) am Tank T-107.</w:t>
      </w:r>
    </w:p>
    <w:p>
      <w:pPr>
        <w:pStyle w:val="NurText"/>
        <w:widowControl w:val="0"/>
        <w:spacing w:before="100" w:line="280" w:lineRule="exact"/>
        <w:jc w:val="both"/>
        <w:rPr>
          <w:rFonts w:ascii="Arial" w:hAnsi="Arial" w:cs="Arial"/>
          <w:sz w:val="24"/>
          <w:szCs w:val="24"/>
        </w:rPr>
      </w:pPr>
      <w:r>
        <w:rPr>
          <w:rFonts w:ascii="Arial" w:hAnsi="Arial" w:cs="Arial"/>
          <w:sz w:val="24"/>
          <w:szCs w:val="24"/>
        </w:rPr>
        <w:t>Bei dem vorliegenden Antrag handelt es sich um die Änderung eines Vorhabens nach Nr. 9.2.1.2 der Anlage 1 des UVPG. Es wurde eine allgemeine Vorprüfung nach § 9 Absatz 1 Nr. 2 i.V.m.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höheren relevanten Luftverunreinigungen aufgrund der ausschließlichen Behandlung und Lagerung in einem geschlossenen System. Auf die Schallimmissionssituation in der Umgebung wirkt sich das Vorhaben insgesamt nicht aus, da mit dem Antragsgegenstand keine zusätzlichen Lärmemittenten installiert werden. Auswirkungen auf den Natur- und Artenschutz sowie relevante Bodenbelastungen finden nicht statt, da keine zusätzlichen Flächen bebaut werden. Eine Gefährdung des Wassers ist ebenfalls nicht zu besorgen, da der zu lagernde wassergefährdende Stoff der Verordnung über Anlagen zum Umgang mit wassergefährdenden Stoffen (AwSV) entsprechend gehandhabt wird. Es fallen keine zusätzlichen Abfälle und Abwässer an.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Kröger </w:t>
      </w:r>
    </w:p>
    <w:p>
      <w:pPr>
        <w:sectPr>
          <w:pgSz w:w="11906" w:h="16838"/>
          <w:pgMar w:top="1417" w:right="1417" w:bottom="1134" w:left="1417" w:header="708" w:footer="708" w:gutter="0"/>
          <w:pgNumType w:start="1"/>
          <w:cols w:space="708"/>
          <w:docGrid w:linePitch="360"/>
        </w:sectPr>
      </w:pPr>
    </w:p>
    <w:p/>
    <w:sectPr>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50156-24AA-42F4-B750-8585FD94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Kröger, Alke</cp:lastModifiedBy>
  <cp:revision>1</cp:revision>
  <dcterms:created xsi:type="dcterms:W3CDTF">2022-11-11T12:35:00Z</dcterms:created>
  <dcterms:modified xsi:type="dcterms:W3CDTF">2022-11-11T12:36:00Z</dcterms:modified>
</cp:coreProperties>
</file>