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DC99"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209DBDEA" w14:textId="77777777" w:rsidR="001F48DD" w:rsidRPr="001626A0" w:rsidRDefault="001F48DD" w:rsidP="001F48DD">
      <w:pPr>
        <w:rPr>
          <w:rFonts w:ascii="Arial" w:hAnsi="Arial" w:cs="Arial"/>
          <w:szCs w:val="24"/>
        </w:rPr>
      </w:pPr>
    </w:p>
    <w:p w14:paraId="5E8B75CD"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2733115E" w14:textId="0CDF9E1C" w:rsidR="00104FBE" w:rsidRDefault="00230395" w:rsidP="00230395">
      <w:pPr>
        <w:jc w:val="both"/>
        <w:rPr>
          <w:rFonts w:ascii="Arial" w:hAnsi="Arial" w:cs="Arial"/>
        </w:rPr>
      </w:pPr>
      <w:r w:rsidRPr="00230395">
        <w:rPr>
          <w:rFonts w:ascii="Arial" w:hAnsi="Arial" w:cs="Arial"/>
        </w:rPr>
        <w:t xml:space="preserve">Die </w:t>
      </w:r>
      <w:r w:rsidR="00F309EC">
        <w:rPr>
          <w:rFonts w:ascii="Arial" w:hAnsi="Arial" w:cs="Arial"/>
        </w:rPr>
        <w:t xml:space="preserve">Biogas </w:t>
      </w:r>
      <w:proofErr w:type="spellStart"/>
      <w:r w:rsidR="00F309EC">
        <w:rPr>
          <w:rFonts w:ascii="Arial" w:hAnsi="Arial" w:cs="Arial"/>
        </w:rPr>
        <w:t>Nordhagen</w:t>
      </w:r>
      <w:proofErr w:type="spellEnd"/>
      <w:r w:rsidR="0067331A">
        <w:rPr>
          <w:rFonts w:ascii="Arial" w:hAnsi="Arial" w:cs="Arial"/>
        </w:rPr>
        <w:t xml:space="preserve"> GmbH &amp; Co. KG</w:t>
      </w:r>
      <w:r w:rsidR="007842E5">
        <w:rPr>
          <w:rFonts w:ascii="Arial" w:hAnsi="Arial" w:cs="Arial"/>
        </w:rPr>
        <w:t xml:space="preserve"> </w:t>
      </w:r>
      <w:r w:rsidR="00BF1A14">
        <w:rPr>
          <w:rFonts w:ascii="Arial" w:hAnsi="Arial" w:cs="Arial"/>
        </w:rPr>
        <w:t xml:space="preserve">(Az.: </w:t>
      </w:r>
      <w:r w:rsidR="0067331A" w:rsidRPr="0067331A">
        <w:rPr>
          <w:rFonts w:ascii="Arial" w:hAnsi="Arial" w:cs="Arial"/>
        </w:rPr>
        <w:t>52.</w:t>
      </w:r>
      <w:r w:rsidR="009C1970">
        <w:rPr>
          <w:rFonts w:ascii="Arial" w:hAnsi="Arial" w:cs="Arial"/>
        </w:rPr>
        <w:t>00</w:t>
      </w:r>
      <w:r w:rsidR="00F309EC">
        <w:rPr>
          <w:rFonts w:ascii="Arial" w:hAnsi="Arial" w:cs="Arial"/>
        </w:rPr>
        <w:t>19</w:t>
      </w:r>
      <w:r w:rsidR="009C1970">
        <w:rPr>
          <w:rFonts w:ascii="Arial" w:hAnsi="Arial" w:cs="Arial"/>
        </w:rPr>
        <w:t>/2</w:t>
      </w:r>
      <w:r w:rsidR="00F309EC">
        <w:rPr>
          <w:rFonts w:ascii="Arial" w:hAnsi="Arial" w:cs="Arial"/>
        </w:rPr>
        <w:t>4</w:t>
      </w:r>
      <w:r w:rsidR="009C1970">
        <w:rPr>
          <w:rFonts w:ascii="Arial" w:hAnsi="Arial" w:cs="Arial"/>
        </w:rPr>
        <w:t>/8.6.3.2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w:t>
      </w:r>
      <w:r w:rsidR="00F309EC">
        <w:rPr>
          <w:rFonts w:ascii="Arial" w:hAnsi="Arial" w:cs="Arial"/>
        </w:rPr>
        <w:t>Standort Nordhagener Straße, Delbrück</w:t>
      </w:r>
      <w:r w:rsidR="00371C47">
        <w:rPr>
          <w:rFonts w:ascii="Arial" w:hAnsi="Arial" w:cs="Arial"/>
        </w:rPr>
        <w:t xml:space="preserve"> </w:t>
      </w:r>
      <w:r w:rsidR="009C1970">
        <w:rPr>
          <w:rFonts w:ascii="Arial" w:hAnsi="Arial" w:cs="Arial"/>
        </w:rPr>
        <w:t xml:space="preserve">maßgeblich </w:t>
      </w:r>
      <w:r w:rsidR="00371C47">
        <w:rPr>
          <w:rFonts w:ascii="Arial" w:hAnsi="Arial" w:cs="Arial"/>
        </w:rPr>
        <w:t>durch</w:t>
      </w:r>
      <w:r w:rsidR="00D23709">
        <w:rPr>
          <w:rFonts w:ascii="Arial" w:hAnsi="Arial" w:cs="Arial"/>
        </w:rPr>
        <w:t xml:space="preserve"> </w:t>
      </w:r>
      <w:r w:rsidR="009C1970">
        <w:rPr>
          <w:rFonts w:ascii="Arial" w:hAnsi="Arial" w:cs="Arial"/>
        </w:rPr>
        <w:t>E</w:t>
      </w:r>
      <w:r w:rsidR="0067331A">
        <w:rPr>
          <w:rFonts w:ascii="Arial" w:hAnsi="Arial" w:cs="Arial"/>
        </w:rPr>
        <w:t>rweiterung der Gasproduktion (zulässig nach § 246d BauGB)</w:t>
      </w:r>
      <w:r w:rsidR="009C1970">
        <w:rPr>
          <w:rFonts w:ascii="Arial" w:hAnsi="Arial" w:cs="Arial"/>
        </w:rPr>
        <w:t xml:space="preserve"> sowie Errichtung </w:t>
      </w:r>
      <w:r w:rsidR="00F309EC">
        <w:rPr>
          <w:rFonts w:ascii="Arial" w:hAnsi="Arial" w:cs="Arial"/>
        </w:rPr>
        <w:t>einer</w:t>
      </w:r>
      <w:r w:rsidR="009C1970">
        <w:rPr>
          <w:rFonts w:ascii="Arial" w:hAnsi="Arial" w:cs="Arial"/>
        </w:rPr>
        <w:t xml:space="preserve"> Gasaufbereitung</w:t>
      </w:r>
      <w:r w:rsidR="0067331A">
        <w:rPr>
          <w:rFonts w:ascii="Arial" w:hAnsi="Arial" w:cs="Arial"/>
        </w:rPr>
        <w:t>.</w:t>
      </w:r>
      <w:r w:rsidR="00D23709">
        <w:rPr>
          <w:rFonts w:ascii="Arial" w:hAnsi="Arial" w:cs="Arial"/>
        </w:rPr>
        <w:t xml:space="preserve"> </w:t>
      </w:r>
    </w:p>
    <w:p w14:paraId="6D2DF918" w14:textId="77777777" w:rsidR="00D23709" w:rsidRPr="00230395" w:rsidRDefault="00D23709" w:rsidP="00230395">
      <w:pPr>
        <w:jc w:val="both"/>
        <w:rPr>
          <w:rFonts w:ascii="Arial" w:hAnsi="Arial" w:cs="Arial"/>
        </w:rPr>
      </w:pPr>
    </w:p>
    <w:p w14:paraId="17BA0588"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5672F6F7" w14:textId="77777777" w:rsidR="001F48DD" w:rsidRPr="001626A0" w:rsidRDefault="001F48DD" w:rsidP="00230395">
      <w:pPr>
        <w:pStyle w:val="Textkrper"/>
        <w:jc w:val="both"/>
        <w:rPr>
          <w:rFonts w:ascii="Arial" w:hAnsi="Arial" w:cs="Arial"/>
          <w:sz w:val="24"/>
          <w:szCs w:val="24"/>
        </w:rPr>
      </w:pPr>
    </w:p>
    <w:p w14:paraId="1379434A" w14:textId="4C41A319" w:rsidR="00371C47" w:rsidRDefault="001F48DD" w:rsidP="00371C47">
      <w:pPr>
        <w:jc w:val="both"/>
        <w:rPr>
          <w:rFonts w:ascii="Arial" w:hAnsi="Arial" w:cs="Arial"/>
        </w:rPr>
      </w:pPr>
      <w:r w:rsidRPr="001626A0">
        <w:rPr>
          <w:rFonts w:ascii="Arial" w:hAnsi="Arial" w:cs="Arial"/>
          <w:szCs w:val="24"/>
        </w:rPr>
        <w:t xml:space="preserve">Die </w:t>
      </w:r>
      <w:r w:rsidR="00F309EC">
        <w:rPr>
          <w:rFonts w:ascii="Arial" w:hAnsi="Arial" w:cs="Arial"/>
          <w:szCs w:val="24"/>
        </w:rPr>
        <w:t xml:space="preserve">Biogas </w:t>
      </w:r>
      <w:proofErr w:type="spellStart"/>
      <w:r w:rsidR="00F309EC">
        <w:rPr>
          <w:rFonts w:ascii="Arial" w:hAnsi="Arial" w:cs="Arial"/>
          <w:szCs w:val="24"/>
        </w:rPr>
        <w:t>Nordhagen</w:t>
      </w:r>
      <w:proofErr w:type="spellEnd"/>
      <w:r w:rsidR="009C1970" w:rsidRPr="009C1970">
        <w:rPr>
          <w:rFonts w:ascii="Arial" w:hAnsi="Arial" w:cs="Arial"/>
          <w:szCs w:val="24"/>
        </w:rPr>
        <w:t xml:space="preserve"> </w:t>
      </w:r>
      <w:r w:rsidR="0067331A">
        <w:rPr>
          <w:rFonts w:ascii="Arial" w:hAnsi="Arial" w:cs="Arial"/>
          <w:szCs w:val="24"/>
        </w:rPr>
        <w:t>GmbH &amp; Co. KG</w:t>
      </w:r>
      <w:r w:rsidR="00371C47">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14:paraId="2E173464" w14:textId="77777777" w:rsidR="00D519BA" w:rsidRPr="001626A0" w:rsidRDefault="00D519BA" w:rsidP="00371C47">
      <w:pPr>
        <w:pStyle w:val="Textkrper"/>
        <w:jc w:val="both"/>
        <w:rPr>
          <w:rFonts w:ascii="Arial" w:hAnsi="Arial" w:cs="Arial"/>
          <w:sz w:val="24"/>
          <w:szCs w:val="24"/>
        </w:rPr>
      </w:pPr>
    </w:p>
    <w:p w14:paraId="4B41B73F"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331FBA56"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633C55E6" w14:textId="0BBD004B"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sidR="009C1970">
        <w:rPr>
          <w:rFonts w:ascii="Arial" w:hAnsi="Arial" w:cs="Arial"/>
          <w:sz w:val="24"/>
          <w:szCs w:val="24"/>
        </w:rPr>
        <w:t xml:space="preserve">1.16, </w:t>
      </w:r>
      <w:r>
        <w:rPr>
          <w:rFonts w:ascii="Arial" w:hAnsi="Arial" w:cs="Arial"/>
          <w:sz w:val="24"/>
          <w:szCs w:val="24"/>
        </w:rPr>
        <w:t>8.6.3.2</w:t>
      </w:r>
      <w:r w:rsidR="009C1970">
        <w:rPr>
          <w:rFonts w:ascii="Arial" w:hAnsi="Arial" w:cs="Arial"/>
          <w:sz w:val="24"/>
          <w:szCs w:val="24"/>
        </w:rPr>
        <w:t>,</w:t>
      </w:r>
      <w:r>
        <w:rPr>
          <w:rFonts w:ascii="Arial" w:hAnsi="Arial" w:cs="Arial"/>
          <w:sz w:val="24"/>
          <w:szCs w:val="24"/>
        </w:rPr>
        <w:t xml:space="preserve"> </w:t>
      </w:r>
      <w:r w:rsidR="009C1970">
        <w:rPr>
          <w:rFonts w:ascii="Arial" w:hAnsi="Arial" w:cs="Arial"/>
          <w:sz w:val="24"/>
          <w:szCs w:val="24"/>
        </w:rPr>
        <w:t>9.1.1.</w:t>
      </w:r>
      <w:r w:rsidR="00F309EC">
        <w:rPr>
          <w:rFonts w:ascii="Arial" w:hAnsi="Arial" w:cs="Arial"/>
          <w:sz w:val="24"/>
          <w:szCs w:val="24"/>
        </w:rPr>
        <w:t>2</w:t>
      </w:r>
      <w:r w:rsidR="009C1970">
        <w:rPr>
          <w:rFonts w:ascii="Arial" w:hAnsi="Arial" w:cs="Arial"/>
          <w:sz w:val="24"/>
          <w:szCs w:val="24"/>
        </w:rPr>
        <w:t xml:space="preserve"> </w:t>
      </w:r>
      <w:r w:rsidR="00371C47">
        <w:rPr>
          <w:rFonts w:ascii="Arial" w:hAnsi="Arial" w:cs="Arial"/>
          <w:sz w:val="24"/>
          <w:szCs w:val="24"/>
        </w:rPr>
        <w:t xml:space="preserve">und </w:t>
      </w:r>
      <w:r w:rsidR="009C1970">
        <w:rPr>
          <w:rFonts w:ascii="Arial" w:hAnsi="Arial" w:cs="Arial"/>
          <w:sz w:val="24"/>
          <w:szCs w:val="24"/>
        </w:rPr>
        <w:t xml:space="preserve">9.36 bzw. 8.13 </w:t>
      </w:r>
      <w:r>
        <w:rPr>
          <w:rFonts w:ascii="Arial" w:hAnsi="Arial" w:cs="Arial"/>
          <w:sz w:val="24"/>
          <w:szCs w:val="24"/>
        </w:rPr>
        <w:t>der 4. BImSchV zuzuordnen</w:t>
      </w:r>
      <w:r w:rsidR="00D8022A">
        <w:rPr>
          <w:rFonts w:ascii="Arial" w:hAnsi="Arial" w:cs="Arial"/>
          <w:sz w:val="24"/>
          <w:szCs w:val="24"/>
        </w:rPr>
        <w:t>.</w:t>
      </w:r>
    </w:p>
    <w:p w14:paraId="1CB83E89" w14:textId="77777777" w:rsidR="00D519BA" w:rsidRDefault="00D519BA" w:rsidP="00230395">
      <w:pPr>
        <w:pStyle w:val="Textkrper"/>
        <w:jc w:val="both"/>
        <w:rPr>
          <w:rFonts w:ascii="Arial" w:hAnsi="Arial" w:cs="Arial"/>
          <w:sz w:val="24"/>
          <w:szCs w:val="24"/>
        </w:rPr>
      </w:pPr>
    </w:p>
    <w:p w14:paraId="6343C969"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3A92B176" w14:textId="4022036A"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w:t>
      </w:r>
      <w:proofErr w:type="gramStart"/>
      <w:r w:rsidR="00BF5F61">
        <w:rPr>
          <w:rFonts w:ascii="Arial" w:hAnsi="Arial" w:cs="Arial"/>
          <w:sz w:val="24"/>
          <w:szCs w:val="24"/>
        </w:rPr>
        <w:t>1.2.2.2,</w:t>
      </w:r>
      <w:r w:rsidR="00F309EC">
        <w:rPr>
          <w:rFonts w:ascii="Arial" w:hAnsi="Arial" w:cs="Arial"/>
          <w:sz w:val="24"/>
          <w:szCs w:val="24"/>
        </w:rPr>
        <w:t>,</w:t>
      </w:r>
      <w:proofErr w:type="gramEnd"/>
      <w:r w:rsidR="00F309EC">
        <w:rPr>
          <w:rFonts w:ascii="Arial" w:hAnsi="Arial" w:cs="Arial"/>
          <w:sz w:val="24"/>
          <w:szCs w:val="24"/>
        </w:rPr>
        <w:t xml:space="preserve">1.11.2.1, </w:t>
      </w:r>
      <w:r w:rsidR="004442AA">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w:t>
      </w:r>
      <w:r w:rsidR="00F309EC">
        <w:rPr>
          <w:rFonts w:ascii="Arial" w:hAnsi="Arial" w:cs="Arial"/>
          <w:sz w:val="24"/>
          <w:szCs w:val="24"/>
        </w:rPr>
        <w:t>3</w:t>
      </w:r>
      <w:r w:rsidR="00104FBE">
        <w:rPr>
          <w:rFonts w:ascii="Arial" w:hAnsi="Arial" w:cs="Arial"/>
          <w:sz w:val="24"/>
          <w:szCs w:val="24"/>
        </w:rPr>
        <w:t>.</w:t>
      </w:r>
    </w:p>
    <w:p w14:paraId="28AEE06C" w14:textId="77777777" w:rsidR="001F48DD" w:rsidRPr="001626A0" w:rsidRDefault="001F48DD" w:rsidP="00230395">
      <w:pPr>
        <w:pStyle w:val="Textkrper"/>
        <w:jc w:val="both"/>
        <w:rPr>
          <w:rFonts w:ascii="Arial" w:hAnsi="Arial" w:cs="Arial"/>
          <w:sz w:val="24"/>
          <w:szCs w:val="24"/>
        </w:rPr>
      </w:pPr>
    </w:p>
    <w:p w14:paraId="57E45FEE"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6F411F59" w14:textId="77777777"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305C9D22" w14:textId="77777777" w:rsidR="00D519BA" w:rsidRDefault="00D519BA" w:rsidP="00D519BA">
      <w:pPr>
        <w:pStyle w:val="Textkrper"/>
        <w:jc w:val="both"/>
        <w:rPr>
          <w:rFonts w:ascii="Arial" w:hAnsi="Arial" w:cs="Arial"/>
          <w:sz w:val="24"/>
          <w:szCs w:val="24"/>
        </w:rPr>
      </w:pPr>
    </w:p>
    <w:p w14:paraId="6C04E84E"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1350F911" w14:textId="77777777" w:rsidR="00893AA1" w:rsidRDefault="00893AA1" w:rsidP="00D519BA">
      <w:pPr>
        <w:pStyle w:val="Textkrper"/>
        <w:jc w:val="both"/>
        <w:rPr>
          <w:rFonts w:ascii="Arial" w:hAnsi="Arial" w:cs="Arial"/>
          <w:sz w:val="24"/>
          <w:szCs w:val="24"/>
        </w:rPr>
      </w:pPr>
    </w:p>
    <w:p w14:paraId="246FB70D"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6CCE3833" w14:textId="77777777" w:rsidR="00893AA1" w:rsidRPr="00893AA1" w:rsidRDefault="00893AA1" w:rsidP="00D519BA">
      <w:pPr>
        <w:pStyle w:val="Textkrper"/>
        <w:jc w:val="both"/>
        <w:rPr>
          <w:rFonts w:ascii="Arial" w:hAnsi="Arial" w:cs="Arial"/>
          <w:sz w:val="24"/>
          <w:szCs w:val="24"/>
        </w:rPr>
      </w:pPr>
    </w:p>
    <w:p w14:paraId="3E4EEB7F" w14:textId="6CD0C9D4"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F309EC">
        <w:rPr>
          <w:rFonts w:ascii="Arial" w:hAnsi="Arial" w:cs="Arial"/>
          <w:sz w:val="24"/>
          <w:szCs w:val="24"/>
        </w:rPr>
        <w:t xml:space="preserve">1.11.2.1, </w:t>
      </w:r>
      <w:r w:rsidR="009522A4">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9522A4">
        <w:rPr>
          <w:rFonts w:ascii="Arial" w:hAnsi="Arial" w:cs="Arial"/>
          <w:sz w:val="24"/>
          <w:szCs w:val="24"/>
        </w:rPr>
        <w:t xml:space="preserve"> </w:t>
      </w:r>
      <w:r w:rsidR="00BF5F61">
        <w:rPr>
          <w:rFonts w:ascii="Arial" w:hAnsi="Arial" w:cs="Arial"/>
          <w:sz w:val="24"/>
          <w:szCs w:val="24"/>
        </w:rPr>
        <w:t>und 9.1.1.</w:t>
      </w:r>
      <w:r w:rsidR="009C1970">
        <w:rPr>
          <w:rFonts w:ascii="Arial" w:hAnsi="Arial" w:cs="Arial"/>
          <w:sz w:val="24"/>
          <w:szCs w:val="24"/>
        </w:rPr>
        <w:t>3</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F309EC">
        <w:rPr>
          <w:rFonts w:ascii="Arial" w:hAnsi="Arial" w:cs="Arial"/>
          <w:sz w:val="24"/>
          <w:szCs w:val="24"/>
        </w:rPr>
        <w:t>A</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8022A">
        <w:rPr>
          <w:rFonts w:ascii="Arial" w:hAnsi="Arial" w:cs="Arial"/>
          <w:sz w:val="24"/>
          <w:szCs w:val="24"/>
        </w:rPr>
        <w:t>allgemeine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74AD416C" w14:textId="77777777" w:rsidR="009522A4" w:rsidRDefault="009522A4" w:rsidP="00D519BA">
      <w:pPr>
        <w:pStyle w:val="Textkrper"/>
        <w:jc w:val="both"/>
        <w:rPr>
          <w:rFonts w:ascii="Arial" w:hAnsi="Arial" w:cs="Arial"/>
          <w:sz w:val="24"/>
          <w:szCs w:val="24"/>
        </w:rPr>
      </w:pPr>
    </w:p>
    <w:p w14:paraId="35B3C7B8"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4D019E82" w14:textId="77777777" w:rsidR="00893AA1" w:rsidRDefault="00893AA1" w:rsidP="00D519BA">
      <w:pPr>
        <w:pStyle w:val="Textkrper"/>
        <w:jc w:val="both"/>
        <w:rPr>
          <w:rFonts w:ascii="Arial" w:hAnsi="Arial" w:cs="Arial"/>
          <w:sz w:val="24"/>
          <w:szCs w:val="24"/>
        </w:rPr>
      </w:pPr>
    </w:p>
    <w:p w14:paraId="522AB1B3"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4AEFFD03" w14:textId="77777777" w:rsidR="00893AA1" w:rsidRPr="001626A0" w:rsidRDefault="00893AA1" w:rsidP="00D519BA">
      <w:pPr>
        <w:pStyle w:val="Textkrper"/>
        <w:jc w:val="both"/>
        <w:rPr>
          <w:rFonts w:ascii="Arial" w:hAnsi="Arial" w:cs="Arial"/>
          <w:sz w:val="24"/>
          <w:szCs w:val="24"/>
        </w:rPr>
      </w:pPr>
    </w:p>
    <w:p w14:paraId="73CA45E3" w14:textId="011B6901"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F309EC">
        <w:rPr>
          <w:rFonts w:ascii="Arial" w:hAnsi="Arial" w:cs="Arial"/>
          <w:szCs w:val="24"/>
        </w:rPr>
        <w:t>Stadt Delbrück</w:t>
      </w:r>
      <w:r w:rsidR="000C389D">
        <w:rPr>
          <w:rFonts w:ascii="Arial" w:hAnsi="Arial" w:cs="Arial"/>
          <w:szCs w:val="24"/>
        </w:rPr>
        <w:t>, die Anlage ist vorhanden</w:t>
      </w:r>
      <w:r w:rsidR="009C1970">
        <w:rPr>
          <w:rFonts w:ascii="Arial" w:hAnsi="Arial" w:cs="Arial"/>
          <w:szCs w:val="24"/>
        </w:rPr>
        <w:t xml:space="preserve">. Die </w:t>
      </w:r>
      <w:r w:rsidR="00F309EC">
        <w:rPr>
          <w:rFonts w:ascii="Arial" w:hAnsi="Arial" w:cs="Arial"/>
          <w:szCs w:val="24"/>
        </w:rPr>
        <w:t>Änder</w:t>
      </w:r>
      <w:r w:rsidR="009C1970">
        <w:rPr>
          <w:rFonts w:ascii="Arial" w:hAnsi="Arial" w:cs="Arial"/>
          <w:szCs w:val="24"/>
        </w:rPr>
        <w:t>ung umfasst im Wesentlichen die zusätzlichen Gasaufbereitung.</w:t>
      </w:r>
    </w:p>
    <w:p w14:paraId="31E80196" w14:textId="026D8A67" w:rsidR="00895AC5" w:rsidRDefault="00257624" w:rsidP="00D519BA">
      <w:pPr>
        <w:pStyle w:val="Textkrper-Zeileneinzug"/>
        <w:ind w:left="0"/>
        <w:jc w:val="both"/>
        <w:rPr>
          <w:rFonts w:ascii="Arial" w:hAnsi="Arial" w:cs="Arial"/>
        </w:rPr>
      </w:pPr>
      <w:r>
        <w:rPr>
          <w:rFonts w:ascii="Arial" w:hAnsi="Arial" w:cs="Arial"/>
        </w:rPr>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9C1970">
        <w:rPr>
          <w:rFonts w:ascii="Arial" w:hAnsi="Arial" w:cs="Arial"/>
        </w:rPr>
        <w:t xml:space="preserve">Die </w:t>
      </w:r>
      <w:proofErr w:type="spellStart"/>
      <w:r w:rsidR="009C1970">
        <w:rPr>
          <w:rFonts w:ascii="Arial" w:hAnsi="Arial" w:cs="Arial"/>
        </w:rPr>
        <w:t>Erweieterung</w:t>
      </w:r>
      <w:proofErr w:type="spellEnd"/>
      <w:r w:rsidR="009C1970">
        <w:rPr>
          <w:rFonts w:ascii="Arial" w:hAnsi="Arial" w:cs="Arial"/>
        </w:rPr>
        <w:t xml:space="preserve"> der Inputmengen führt zu leicht erhöhten Verkehrsaufkommen und d</w:t>
      </w:r>
      <w:r w:rsidR="0067331A">
        <w:rPr>
          <w:rFonts w:ascii="Arial" w:hAnsi="Arial" w:cs="Arial"/>
        </w:rPr>
        <w:t xml:space="preserve">ie </w:t>
      </w:r>
      <w:r w:rsidR="0067331A">
        <w:rPr>
          <w:rFonts w:ascii="Arial" w:hAnsi="Arial" w:cs="Arial"/>
        </w:rPr>
        <w:lastRenderedPageBreak/>
        <w:t>Laufzeit der BHKW verlängert sich</w:t>
      </w:r>
      <w:r w:rsidR="000100B7">
        <w:rPr>
          <w:rFonts w:ascii="Arial" w:hAnsi="Arial" w:cs="Arial"/>
        </w:rPr>
        <w:t xml:space="preserve"> bzw. </w:t>
      </w:r>
      <w:r w:rsidR="0067331A">
        <w:rPr>
          <w:rFonts w:ascii="Arial" w:hAnsi="Arial" w:cs="Arial"/>
        </w:rPr>
        <w:t xml:space="preserve">kommt </w:t>
      </w:r>
      <w:r w:rsidR="000100B7">
        <w:rPr>
          <w:rFonts w:ascii="Arial" w:hAnsi="Arial" w:cs="Arial"/>
        </w:rPr>
        <w:t xml:space="preserve">es </w:t>
      </w:r>
      <w:r w:rsidR="0067331A">
        <w:rPr>
          <w:rFonts w:ascii="Arial" w:hAnsi="Arial" w:cs="Arial"/>
        </w:rPr>
        <w:t>zu gleichzeitigem Betrieb der BHKW</w:t>
      </w:r>
      <w:r w:rsidR="009C1970">
        <w:rPr>
          <w:rFonts w:ascii="Arial" w:hAnsi="Arial" w:cs="Arial"/>
        </w:rPr>
        <w:t xml:space="preserve"> bzw. alternativ zur Aufbereitung des Gases.</w:t>
      </w:r>
      <w:r w:rsidR="0067331A">
        <w:rPr>
          <w:rFonts w:ascii="Arial" w:hAnsi="Arial" w:cs="Arial"/>
        </w:rPr>
        <w:t xml:space="preserve"> </w:t>
      </w:r>
    </w:p>
    <w:p w14:paraId="2C91B587" w14:textId="77777777" w:rsidR="00D833D1" w:rsidRDefault="00D833D1" w:rsidP="00D519BA">
      <w:pPr>
        <w:jc w:val="both"/>
        <w:rPr>
          <w:rFonts w:ascii="Arial" w:hAnsi="Arial" w:cs="Arial"/>
          <w:szCs w:val="24"/>
        </w:rPr>
      </w:pPr>
    </w:p>
    <w:p w14:paraId="6CEDD44E"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7AF6B37C" w14:textId="77777777" w:rsidR="00893AA1" w:rsidRPr="00893AA1" w:rsidRDefault="00893AA1" w:rsidP="00893AA1"/>
    <w:p w14:paraId="6550A5B0"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14:paraId="61F144B3"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7FE57937" w14:textId="77777777" w:rsidR="00B24362" w:rsidRDefault="00B24362" w:rsidP="00D519BA">
      <w:pPr>
        <w:pStyle w:val="Textkrper"/>
        <w:jc w:val="both"/>
        <w:rPr>
          <w:rFonts w:ascii="Arial" w:hAnsi="Arial" w:cs="Arial"/>
          <w:sz w:val="24"/>
          <w:szCs w:val="24"/>
        </w:rPr>
      </w:pPr>
    </w:p>
    <w:p w14:paraId="21682C4B" w14:textId="41DAD880" w:rsidR="00B24362"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xml:space="preserve">, insofern erfolgt die Prüfung </w:t>
      </w:r>
      <w:r w:rsidR="00F309EC">
        <w:rPr>
          <w:rFonts w:ascii="Arial" w:hAnsi="Arial" w:cs="Arial"/>
          <w:szCs w:val="24"/>
        </w:rPr>
        <w:t>maßgeblich</w:t>
      </w:r>
      <w:r w:rsidR="00343DBA">
        <w:rPr>
          <w:rFonts w:ascii="Arial" w:hAnsi="Arial" w:cs="Arial"/>
          <w:szCs w:val="24"/>
        </w:rPr>
        <w:t xml:space="preserve">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67331A">
        <w:rPr>
          <w:rFonts w:ascii="Arial" w:hAnsi="Arial" w:cs="Arial"/>
          <w:szCs w:val="24"/>
        </w:rPr>
        <w:t>Laufzeit</w:t>
      </w:r>
      <w:r w:rsidR="000100B7">
        <w:rPr>
          <w:rFonts w:ascii="Arial" w:hAnsi="Arial" w:cs="Arial"/>
          <w:szCs w:val="24"/>
        </w:rPr>
        <w:t xml:space="preserve"> oder </w:t>
      </w:r>
      <w:r w:rsidR="00F309EC">
        <w:rPr>
          <w:rFonts w:ascii="Arial" w:hAnsi="Arial" w:cs="Arial"/>
          <w:szCs w:val="24"/>
        </w:rPr>
        <w:t>ein</w:t>
      </w:r>
      <w:r w:rsidR="000100B7">
        <w:rPr>
          <w:rFonts w:ascii="Arial" w:hAnsi="Arial" w:cs="Arial"/>
          <w:szCs w:val="24"/>
        </w:rPr>
        <w:t xml:space="preserve"> gleichzeitige</w:t>
      </w:r>
      <w:r w:rsidR="00F309EC">
        <w:rPr>
          <w:rFonts w:ascii="Arial" w:hAnsi="Arial" w:cs="Arial"/>
          <w:szCs w:val="24"/>
        </w:rPr>
        <w:t>s</w:t>
      </w:r>
      <w:r w:rsidR="000100B7">
        <w:rPr>
          <w:rFonts w:ascii="Arial" w:hAnsi="Arial" w:cs="Arial"/>
          <w:szCs w:val="24"/>
        </w:rPr>
        <w:t xml:space="preserve"> Lauf</w:t>
      </w:r>
      <w:r w:rsidR="00F309EC">
        <w:rPr>
          <w:rFonts w:ascii="Arial" w:hAnsi="Arial" w:cs="Arial"/>
          <w:szCs w:val="24"/>
        </w:rPr>
        <w:t>en</w:t>
      </w:r>
      <w:r w:rsidR="000100B7">
        <w:rPr>
          <w:rFonts w:ascii="Arial" w:hAnsi="Arial" w:cs="Arial"/>
          <w:szCs w:val="24"/>
        </w:rPr>
        <w:t xml:space="preserve"> </w:t>
      </w:r>
      <w:r w:rsidR="0067331A">
        <w:rPr>
          <w:rFonts w:ascii="Arial" w:hAnsi="Arial" w:cs="Arial"/>
          <w:szCs w:val="24"/>
        </w:rPr>
        <w:t>der</w:t>
      </w:r>
      <w:r w:rsidR="00343DBA">
        <w:rPr>
          <w:rFonts w:ascii="Arial" w:hAnsi="Arial" w:cs="Arial"/>
          <w:szCs w:val="24"/>
        </w:rPr>
        <w:t xml:space="preserve"> BHKW</w:t>
      </w:r>
      <w:r w:rsidR="000C389D" w:rsidRPr="000C389D">
        <w:rPr>
          <w:rFonts w:ascii="Arial" w:hAnsi="Arial" w:cs="Arial"/>
          <w:szCs w:val="24"/>
        </w:rPr>
        <w:t xml:space="preserve"> </w:t>
      </w:r>
      <w:r w:rsidR="0067331A">
        <w:rPr>
          <w:rFonts w:ascii="Arial" w:hAnsi="Arial" w:cs="Arial"/>
          <w:szCs w:val="24"/>
        </w:rPr>
        <w:t xml:space="preserve">als Folge der erhöhten Gasproduktion </w:t>
      </w:r>
      <w:r w:rsidR="000C389D" w:rsidRPr="000C389D">
        <w:rPr>
          <w:rFonts w:ascii="Arial" w:hAnsi="Arial" w:cs="Arial"/>
          <w:szCs w:val="24"/>
        </w:rPr>
        <w:t>führ</w:t>
      </w:r>
      <w:r w:rsidR="00343DBA">
        <w:rPr>
          <w:rFonts w:ascii="Arial" w:hAnsi="Arial" w:cs="Arial"/>
          <w:szCs w:val="24"/>
        </w:rPr>
        <w:t>t</w:t>
      </w:r>
      <w:r w:rsidR="000C389D" w:rsidRPr="000C389D">
        <w:rPr>
          <w:rFonts w:ascii="Arial" w:hAnsi="Arial" w:cs="Arial"/>
          <w:szCs w:val="24"/>
        </w:rPr>
        <w:t xml:space="preserve"> </w:t>
      </w:r>
      <w:r w:rsidR="000100B7">
        <w:rPr>
          <w:rFonts w:ascii="Arial" w:hAnsi="Arial" w:cs="Arial"/>
          <w:szCs w:val="24"/>
        </w:rPr>
        <w:t xml:space="preserve">zu </w:t>
      </w:r>
      <w:r w:rsidR="0067331A">
        <w:rPr>
          <w:rFonts w:ascii="Arial" w:hAnsi="Arial" w:cs="Arial"/>
          <w:szCs w:val="24"/>
        </w:rPr>
        <w:t xml:space="preserve">erhöhten Emissionen, diese sind jedoch nicht erheblich im Sinne des UVPG. </w:t>
      </w:r>
      <w:r w:rsidR="000100B7">
        <w:rPr>
          <w:rFonts w:ascii="Arial" w:hAnsi="Arial" w:cs="Arial"/>
          <w:szCs w:val="24"/>
        </w:rPr>
        <w:t xml:space="preserve">Ebensolches gilt für den zusätzlichen Verkehr. </w:t>
      </w:r>
      <w:r w:rsidR="00F309EC">
        <w:rPr>
          <w:rFonts w:ascii="Arial" w:hAnsi="Arial" w:cs="Arial"/>
          <w:szCs w:val="24"/>
        </w:rPr>
        <w:t xml:space="preserve">Die Gasaufbereitung wird mit einer Abgasreinigung für das </w:t>
      </w:r>
      <w:proofErr w:type="spellStart"/>
      <w:r w:rsidR="00F309EC">
        <w:rPr>
          <w:rFonts w:ascii="Arial" w:hAnsi="Arial" w:cs="Arial"/>
          <w:szCs w:val="24"/>
        </w:rPr>
        <w:t>Restgas</w:t>
      </w:r>
      <w:proofErr w:type="spellEnd"/>
      <w:r w:rsidR="00F309EC">
        <w:rPr>
          <w:rFonts w:ascii="Arial" w:hAnsi="Arial" w:cs="Arial"/>
          <w:szCs w:val="24"/>
        </w:rPr>
        <w:t xml:space="preserve"> ausgestattet, so dass hier keine wesentlichen Emissionen zu erwarten sind.</w:t>
      </w:r>
    </w:p>
    <w:p w14:paraId="3477EFB8" w14:textId="77777777" w:rsidR="0067331A" w:rsidRDefault="0067331A" w:rsidP="0067331A">
      <w:pPr>
        <w:autoSpaceDE w:val="0"/>
        <w:autoSpaceDN w:val="0"/>
        <w:adjustRightInd w:val="0"/>
        <w:jc w:val="both"/>
        <w:rPr>
          <w:rFonts w:ascii="Arial" w:hAnsi="Arial" w:cs="Arial"/>
          <w:szCs w:val="24"/>
        </w:rPr>
      </w:pPr>
    </w:p>
    <w:p w14:paraId="783441B4" w14:textId="77777777"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14:paraId="07C98AC2" w14:textId="77777777" w:rsidR="00870263" w:rsidRDefault="00870263" w:rsidP="00D519BA">
      <w:pPr>
        <w:pStyle w:val="Textkrper"/>
        <w:jc w:val="both"/>
        <w:rPr>
          <w:rFonts w:ascii="Arial" w:hAnsi="Arial" w:cs="Arial"/>
          <w:sz w:val="24"/>
          <w:szCs w:val="24"/>
        </w:rPr>
      </w:pPr>
    </w:p>
    <w:p w14:paraId="59DCEB66" w14:textId="77777777"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14:paraId="0B3F875E" w14:textId="77777777" w:rsidR="00C53638" w:rsidRPr="001626A0" w:rsidRDefault="00C53638" w:rsidP="00D519BA">
      <w:pPr>
        <w:pStyle w:val="Textkrper"/>
        <w:jc w:val="both"/>
        <w:rPr>
          <w:rFonts w:ascii="Arial" w:hAnsi="Arial" w:cs="Arial"/>
          <w:sz w:val="24"/>
          <w:szCs w:val="24"/>
        </w:rPr>
      </w:pPr>
    </w:p>
    <w:p w14:paraId="1F38D66D" w14:textId="77777777"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286CCB1" w14:textId="77777777" w:rsidR="001F48DD" w:rsidRPr="001626A0" w:rsidRDefault="001F48DD" w:rsidP="00D519BA">
      <w:pPr>
        <w:pStyle w:val="Textkrper"/>
        <w:jc w:val="both"/>
        <w:rPr>
          <w:rFonts w:ascii="Arial" w:hAnsi="Arial" w:cs="Arial"/>
          <w:sz w:val="24"/>
          <w:szCs w:val="24"/>
        </w:rPr>
      </w:pPr>
    </w:p>
    <w:p w14:paraId="68678BDF"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14:paraId="676DE797"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BBD9" w14:textId="77777777" w:rsidR="00537945" w:rsidRDefault="00537945">
      <w:r>
        <w:separator/>
      </w:r>
    </w:p>
  </w:endnote>
  <w:endnote w:type="continuationSeparator" w:id="0">
    <w:p w14:paraId="792A775D"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A23"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23506A31" w14:textId="77777777">
      <w:trPr>
        <w:gridAfter w:val="1"/>
        <w:wAfter w:w="29" w:type="dxa"/>
      </w:trPr>
      <w:tc>
        <w:tcPr>
          <w:tcW w:w="2665" w:type="dxa"/>
          <w:gridSpan w:val="2"/>
        </w:tcPr>
        <w:p w14:paraId="39784F45" w14:textId="77777777" w:rsidR="00FE5DEE" w:rsidRDefault="00FE5DEE">
          <w:pPr>
            <w:pStyle w:val="Fuzeile"/>
            <w:spacing w:line="180" w:lineRule="exact"/>
            <w:rPr>
              <w:b/>
              <w:sz w:val="18"/>
            </w:rPr>
          </w:pPr>
        </w:p>
      </w:tc>
      <w:tc>
        <w:tcPr>
          <w:tcW w:w="5911" w:type="dxa"/>
        </w:tcPr>
        <w:p w14:paraId="5785C9C1" w14:textId="77777777" w:rsidR="00FE5DEE" w:rsidRDefault="00FE5DEE">
          <w:pPr>
            <w:pStyle w:val="Fuzeile"/>
            <w:spacing w:line="180" w:lineRule="exact"/>
            <w:jc w:val="center"/>
            <w:rPr>
              <w:sz w:val="16"/>
            </w:rPr>
          </w:pPr>
        </w:p>
      </w:tc>
      <w:tc>
        <w:tcPr>
          <w:tcW w:w="1601" w:type="dxa"/>
          <w:gridSpan w:val="2"/>
        </w:tcPr>
        <w:p w14:paraId="4299DA17" w14:textId="77777777" w:rsidR="00FE5DEE" w:rsidRDefault="00FE5DEE">
          <w:pPr>
            <w:pStyle w:val="Fuzeile"/>
            <w:spacing w:line="180" w:lineRule="exact"/>
            <w:rPr>
              <w:sz w:val="20"/>
            </w:rPr>
          </w:pPr>
        </w:p>
      </w:tc>
    </w:tr>
    <w:tr w:rsidR="00FE5DEE" w14:paraId="7D50D3FE" w14:textId="77777777">
      <w:trPr>
        <w:hidden/>
      </w:trPr>
      <w:tc>
        <w:tcPr>
          <w:tcW w:w="1418" w:type="dxa"/>
        </w:tcPr>
        <w:p w14:paraId="5F06985D" w14:textId="77777777" w:rsidR="00FE5DEE" w:rsidRDefault="00FE5DEE">
          <w:pPr>
            <w:pStyle w:val="Fuzeile"/>
            <w:spacing w:line="180" w:lineRule="exact"/>
            <w:rPr>
              <w:vanish/>
              <w:sz w:val="20"/>
            </w:rPr>
          </w:pPr>
        </w:p>
      </w:tc>
      <w:tc>
        <w:tcPr>
          <w:tcW w:w="7757" w:type="dxa"/>
          <w:gridSpan w:val="3"/>
        </w:tcPr>
        <w:p w14:paraId="1B101B54" w14:textId="77777777" w:rsidR="00FE5DEE" w:rsidRDefault="00FE5DEE">
          <w:pPr>
            <w:pStyle w:val="Fuzeile"/>
            <w:spacing w:line="180" w:lineRule="exact"/>
            <w:rPr>
              <w:sz w:val="16"/>
            </w:rPr>
          </w:pPr>
        </w:p>
      </w:tc>
      <w:tc>
        <w:tcPr>
          <w:tcW w:w="1031" w:type="dxa"/>
          <w:gridSpan w:val="2"/>
        </w:tcPr>
        <w:p w14:paraId="53F51C70" w14:textId="77777777" w:rsidR="00FE5DEE" w:rsidRDefault="00FE5DEE">
          <w:pPr>
            <w:pStyle w:val="Fuzeile"/>
            <w:spacing w:line="180" w:lineRule="exact"/>
            <w:rPr>
              <w:sz w:val="20"/>
            </w:rPr>
          </w:pPr>
        </w:p>
      </w:tc>
    </w:tr>
  </w:tbl>
  <w:p w14:paraId="20E1B947"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762D" w14:textId="77777777" w:rsidR="00537945" w:rsidRDefault="00537945">
      <w:r>
        <w:separator/>
      </w:r>
    </w:p>
  </w:footnote>
  <w:footnote w:type="continuationSeparator" w:id="0">
    <w:p w14:paraId="6633CFBA"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328E"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7331A">
      <w:rPr>
        <w:noProof/>
        <w:sz w:val="20"/>
      </w:rPr>
      <w:t>2</w:t>
    </w:r>
    <w:r>
      <w:rPr>
        <w:sz w:val="20"/>
      </w:rPr>
      <w:fldChar w:fldCharType="end"/>
    </w:r>
    <w:r>
      <w:rPr>
        <w:sz w:val="20"/>
      </w:rPr>
      <w:t xml:space="preserve"> -</w:t>
    </w:r>
  </w:p>
  <w:p w14:paraId="45753DF0"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0"/>
    <w:rsid w:val="000100B7"/>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9C1970"/>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C2AEE"/>
    <w:rsid w:val="00E04431"/>
    <w:rsid w:val="00E22D46"/>
    <w:rsid w:val="00E452EC"/>
    <w:rsid w:val="00E62708"/>
    <w:rsid w:val="00EA5520"/>
    <w:rsid w:val="00EC0FFC"/>
    <w:rsid w:val="00EC7914"/>
    <w:rsid w:val="00ED0AC5"/>
    <w:rsid w:val="00F07E16"/>
    <w:rsid w:val="00F309EC"/>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B05D"/>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12</cp:revision>
  <cp:lastPrinted>2016-04-08T06:22:00Z</cp:lastPrinted>
  <dcterms:created xsi:type="dcterms:W3CDTF">2017-09-22T06:46:00Z</dcterms:created>
  <dcterms:modified xsi:type="dcterms:W3CDTF">2025-01-16T11:14:00Z</dcterms:modified>
</cp:coreProperties>
</file>