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353" w:rsidRPr="00621705" w:rsidRDefault="004C0353" w:rsidP="00C5405D">
      <w:pPr>
        <w:tabs>
          <w:tab w:val="center" w:pos="4536"/>
          <w:tab w:val="right" w:pos="9072"/>
        </w:tabs>
        <w:spacing w:after="0"/>
        <w:rPr>
          <w:b/>
        </w:rPr>
      </w:pPr>
      <w:r>
        <w:rPr>
          <w:b/>
        </w:rPr>
        <w:t>Amt 63</w:t>
      </w:r>
      <w:r w:rsidRPr="00621705">
        <w:rPr>
          <w:b/>
        </w:rPr>
        <w:tab/>
        <w:t xml:space="preserve">                                                                                                        Stade, </w:t>
      </w:r>
      <w:bookmarkStart w:id="0" w:name="PLH_Schreibdatum_713455d4ffdb11efbe92e45"/>
      <w:r>
        <w:rPr>
          <w:b/>
        </w:rPr>
        <w:t>1</w:t>
      </w:r>
      <w:r w:rsidR="00377B37">
        <w:rPr>
          <w:b/>
        </w:rPr>
        <w:t>3</w:t>
      </w:r>
      <w:r>
        <w:rPr>
          <w:b/>
        </w:rPr>
        <w:t>.03.2025</w:t>
      </w:r>
      <w:bookmarkEnd w:id="0"/>
    </w:p>
    <w:p w:rsidR="004C0353" w:rsidRDefault="004C0353" w:rsidP="004D235F">
      <w:pPr>
        <w:tabs>
          <w:tab w:val="center" w:pos="4536"/>
          <w:tab w:val="right" w:pos="9072"/>
        </w:tabs>
        <w:spacing w:after="0"/>
        <w:rPr>
          <w:b/>
        </w:rPr>
      </w:pPr>
      <w:r>
        <w:rPr>
          <w:b/>
        </w:rPr>
        <w:t>Frau Engelbrecht</w:t>
      </w:r>
    </w:p>
    <w:p w:rsidR="004D235F" w:rsidRPr="00621705" w:rsidRDefault="004D235F" w:rsidP="004D235F">
      <w:pPr>
        <w:tabs>
          <w:tab w:val="center" w:pos="4536"/>
          <w:tab w:val="right" w:pos="9072"/>
        </w:tabs>
        <w:spacing w:after="0" w:line="240" w:lineRule="auto"/>
        <w:rPr>
          <w:sz w:val="24"/>
        </w:rPr>
      </w:pPr>
    </w:p>
    <w:tbl>
      <w:tblPr>
        <w:tblW w:w="11340" w:type="dxa"/>
        <w:tblInd w:w="-1064" w:type="dxa"/>
        <w:tblLayout w:type="fixed"/>
        <w:tblCellMar>
          <w:left w:w="70" w:type="dxa"/>
          <w:right w:w="70" w:type="dxa"/>
        </w:tblCellMar>
        <w:tblLook w:val="04A0" w:firstRow="1" w:lastRow="0" w:firstColumn="1" w:lastColumn="0" w:noHBand="0" w:noVBand="1"/>
      </w:tblPr>
      <w:tblGrid>
        <w:gridCol w:w="1134"/>
        <w:gridCol w:w="10206"/>
      </w:tblGrid>
      <w:tr w:rsidR="004C0353" w:rsidRPr="00621705" w:rsidTr="00621705">
        <w:trPr>
          <w:trHeight w:val="360"/>
        </w:trPr>
        <w:tc>
          <w:tcPr>
            <w:tcW w:w="1134" w:type="dxa"/>
            <w:vAlign w:val="center"/>
          </w:tcPr>
          <w:p w:rsidR="004C0353" w:rsidRPr="00073244" w:rsidRDefault="004C0353" w:rsidP="004D235F">
            <w:pPr>
              <w:tabs>
                <w:tab w:val="center" w:pos="4536"/>
                <w:tab w:val="right" w:pos="9072"/>
              </w:tabs>
              <w:spacing w:before="60" w:after="0"/>
              <w:ind w:right="70"/>
              <w:jc w:val="right"/>
              <w:rPr>
                <w:sz w:val="12"/>
                <w:szCs w:val="12"/>
              </w:rPr>
            </w:pPr>
            <w:r w:rsidRPr="00073244">
              <w:rPr>
                <w:sz w:val="12"/>
                <w:szCs w:val="12"/>
              </w:rPr>
              <w:t>Aktenzeichen</w:t>
            </w:r>
          </w:p>
        </w:tc>
        <w:tc>
          <w:tcPr>
            <w:tcW w:w="10206" w:type="dxa"/>
            <w:vAlign w:val="center"/>
          </w:tcPr>
          <w:p w:rsidR="004C0353" w:rsidRDefault="004C0353" w:rsidP="004D235F">
            <w:pPr>
              <w:tabs>
                <w:tab w:val="center" w:pos="4536"/>
                <w:tab w:val="right" w:pos="9072"/>
              </w:tabs>
              <w:spacing w:after="0" w:line="240" w:lineRule="exact"/>
              <w:ind w:left="-70"/>
              <w:rPr>
                <w:sz w:val="20"/>
              </w:rPr>
            </w:pPr>
            <w:r>
              <w:rPr>
                <w:sz w:val="20"/>
              </w:rPr>
              <w:t>63.4210.2023-10170</w:t>
            </w:r>
          </w:p>
        </w:tc>
      </w:tr>
      <w:tr w:rsidR="004C0353" w:rsidRPr="00621705" w:rsidTr="00621705">
        <w:trPr>
          <w:trHeight w:val="360"/>
        </w:trPr>
        <w:tc>
          <w:tcPr>
            <w:tcW w:w="1134" w:type="dxa"/>
            <w:vAlign w:val="center"/>
            <w:hideMark/>
          </w:tcPr>
          <w:p w:rsidR="004C0353" w:rsidRPr="00073244" w:rsidRDefault="004C0353" w:rsidP="004D235F">
            <w:pPr>
              <w:tabs>
                <w:tab w:val="center" w:pos="4536"/>
                <w:tab w:val="right" w:pos="9072"/>
              </w:tabs>
              <w:spacing w:before="60" w:after="0"/>
              <w:ind w:right="70"/>
              <w:jc w:val="right"/>
              <w:rPr>
                <w:sz w:val="12"/>
                <w:szCs w:val="12"/>
              </w:rPr>
            </w:pPr>
            <w:r w:rsidRPr="00073244">
              <w:rPr>
                <w:sz w:val="12"/>
                <w:szCs w:val="12"/>
              </w:rPr>
              <w:t xml:space="preserve">   Antragsteller</w:t>
            </w:r>
          </w:p>
        </w:tc>
        <w:tc>
          <w:tcPr>
            <w:tcW w:w="10206" w:type="dxa"/>
            <w:vAlign w:val="center"/>
            <w:hideMark/>
          </w:tcPr>
          <w:p w:rsidR="004C0353" w:rsidRPr="006E2F55" w:rsidRDefault="004C0353" w:rsidP="004D235F">
            <w:pPr>
              <w:tabs>
                <w:tab w:val="center" w:pos="4536"/>
                <w:tab w:val="right" w:pos="9072"/>
              </w:tabs>
              <w:spacing w:after="0" w:line="240" w:lineRule="exact"/>
              <w:ind w:left="-70"/>
              <w:rPr>
                <w:sz w:val="20"/>
              </w:rPr>
            </w:pPr>
            <w:r>
              <w:rPr>
                <w:sz w:val="20"/>
              </w:rPr>
              <w:t>PNE AG, Schehzad Yawar</w:t>
            </w:r>
          </w:p>
        </w:tc>
      </w:tr>
      <w:tr w:rsidR="004C0353" w:rsidRPr="00621705" w:rsidTr="00621705">
        <w:trPr>
          <w:trHeight w:val="360"/>
        </w:trPr>
        <w:tc>
          <w:tcPr>
            <w:tcW w:w="1134" w:type="dxa"/>
            <w:vAlign w:val="center"/>
            <w:hideMark/>
          </w:tcPr>
          <w:p w:rsidR="004C0353" w:rsidRPr="00073244" w:rsidRDefault="004C0353" w:rsidP="004D235F">
            <w:pPr>
              <w:tabs>
                <w:tab w:val="center" w:pos="4536"/>
                <w:tab w:val="right" w:pos="9072"/>
              </w:tabs>
              <w:spacing w:before="80" w:after="0"/>
              <w:ind w:left="-70" w:right="68"/>
              <w:jc w:val="right"/>
              <w:rPr>
                <w:sz w:val="12"/>
                <w:szCs w:val="12"/>
              </w:rPr>
            </w:pPr>
            <w:r w:rsidRPr="00073244">
              <w:rPr>
                <w:sz w:val="12"/>
                <w:szCs w:val="12"/>
              </w:rPr>
              <w:t>Vorhaben</w:t>
            </w:r>
          </w:p>
        </w:tc>
        <w:tc>
          <w:tcPr>
            <w:tcW w:w="10206" w:type="dxa"/>
            <w:vAlign w:val="center"/>
            <w:hideMark/>
          </w:tcPr>
          <w:p w:rsidR="004C0353" w:rsidRPr="00621705" w:rsidRDefault="004C0353" w:rsidP="004D235F">
            <w:pPr>
              <w:tabs>
                <w:tab w:val="left" w:pos="708"/>
                <w:tab w:val="center" w:pos="4536"/>
                <w:tab w:val="right" w:pos="9072"/>
              </w:tabs>
              <w:spacing w:after="0" w:line="240" w:lineRule="exact"/>
              <w:ind w:left="-68"/>
              <w:rPr>
                <w:sz w:val="20"/>
              </w:rPr>
            </w:pPr>
            <w:r>
              <w:rPr>
                <w:sz w:val="20"/>
              </w:rPr>
              <w:t xml:space="preserve">Vorbescheid nach § 9 </w:t>
            </w:r>
            <w:proofErr w:type="gramStart"/>
            <w:r>
              <w:rPr>
                <w:sz w:val="20"/>
              </w:rPr>
              <w:t>BImSchG  für</w:t>
            </w:r>
            <w:proofErr w:type="gramEnd"/>
            <w:r>
              <w:rPr>
                <w:sz w:val="20"/>
              </w:rPr>
              <w:t xml:space="preserve"> das </w:t>
            </w:r>
            <w:proofErr w:type="spellStart"/>
            <w:r>
              <w:rPr>
                <w:sz w:val="20"/>
              </w:rPr>
              <w:t>Repowering</w:t>
            </w:r>
            <w:proofErr w:type="spellEnd"/>
            <w:r>
              <w:rPr>
                <w:sz w:val="20"/>
              </w:rPr>
              <w:t xml:space="preserve"> des WP </w:t>
            </w:r>
            <w:proofErr w:type="spellStart"/>
            <w:r>
              <w:rPr>
                <w:sz w:val="20"/>
              </w:rPr>
              <w:t>Agathenburg</w:t>
            </w:r>
            <w:proofErr w:type="spellEnd"/>
          </w:p>
        </w:tc>
      </w:tr>
      <w:tr w:rsidR="004C0353" w:rsidRPr="00621705" w:rsidTr="00621705">
        <w:trPr>
          <w:trHeight w:val="360"/>
        </w:trPr>
        <w:tc>
          <w:tcPr>
            <w:tcW w:w="1134" w:type="dxa"/>
            <w:vAlign w:val="center"/>
            <w:hideMark/>
          </w:tcPr>
          <w:p w:rsidR="004C0353" w:rsidRPr="00073244" w:rsidRDefault="004C0353" w:rsidP="004D235F">
            <w:pPr>
              <w:tabs>
                <w:tab w:val="center" w:pos="4536"/>
                <w:tab w:val="right" w:pos="9072"/>
              </w:tabs>
              <w:spacing w:before="160" w:after="0"/>
              <w:ind w:left="-68" w:right="68"/>
              <w:jc w:val="right"/>
              <w:rPr>
                <w:sz w:val="12"/>
                <w:szCs w:val="12"/>
              </w:rPr>
            </w:pPr>
            <w:r w:rsidRPr="00073244">
              <w:rPr>
                <w:sz w:val="12"/>
                <w:szCs w:val="12"/>
              </w:rPr>
              <w:t>Grundstück</w:t>
            </w:r>
          </w:p>
        </w:tc>
        <w:tc>
          <w:tcPr>
            <w:tcW w:w="10206" w:type="dxa"/>
            <w:vAlign w:val="center"/>
            <w:hideMark/>
          </w:tcPr>
          <w:p w:rsidR="004C0353" w:rsidRPr="00621705" w:rsidRDefault="004C0353" w:rsidP="004D235F">
            <w:pPr>
              <w:tabs>
                <w:tab w:val="left" w:pos="708"/>
                <w:tab w:val="center" w:pos="4536"/>
                <w:tab w:val="right" w:pos="9072"/>
              </w:tabs>
              <w:spacing w:before="80" w:after="0" w:line="240" w:lineRule="exact"/>
              <w:ind w:left="-68"/>
              <w:rPr>
                <w:sz w:val="20"/>
              </w:rPr>
            </w:pPr>
            <w:proofErr w:type="spellStart"/>
            <w:r>
              <w:rPr>
                <w:sz w:val="20"/>
              </w:rPr>
              <w:t>Agathenburg</w:t>
            </w:r>
            <w:proofErr w:type="spellEnd"/>
            <w:r>
              <w:rPr>
                <w:sz w:val="20"/>
              </w:rPr>
              <w:t>, ~</w:t>
            </w:r>
          </w:p>
        </w:tc>
      </w:tr>
      <w:tr w:rsidR="004C0353" w:rsidRPr="00621705" w:rsidTr="00621705">
        <w:trPr>
          <w:trHeight w:val="360"/>
        </w:trPr>
        <w:tc>
          <w:tcPr>
            <w:tcW w:w="1134" w:type="dxa"/>
            <w:vAlign w:val="center"/>
            <w:hideMark/>
          </w:tcPr>
          <w:p w:rsidR="004C0353" w:rsidRPr="00073244" w:rsidRDefault="004C0353" w:rsidP="004D235F">
            <w:pPr>
              <w:tabs>
                <w:tab w:val="center" w:pos="4536"/>
                <w:tab w:val="right" w:pos="9072"/>
              </w:tabs>
              <w:spacing w:before="160" w:after="0"/>
              <w:ind w:left="-68" w:right="68"/>
              <w:jc w:val="right"/>
              <w:rPr>
                <w:sz w:val="12"/>
                <w:szCs w:val="12"/>
              </w:rPr>
            </w:pPr>
            <w:r w:rsidRPr="00073244">
              <w:rPr>
                <w:sz w:val="12"/>
                <w:szCs w:val="12"/>
              </w:rPr>
              <w:t>Lage</w:t>
            </w:r>
          </w:p>
        </w:tc>
        <w:tc>
          <w:tcPr>
            <w:tcW w:w="10206" w:type="dxa"/>
            <w:vAlign w:val="center"/>
            <w:hideMark/>
          </w:tcPr>
          <w:p w:rsidR="004C0353" w:rsidRPr="00621705" w:rsidRDefault="004C0353" w:rsidP="004D235F">
            <w:pPr>
              <w:tabs>
                <w:tab w:val="left" w:pos="708"/>
                <w:tab w:val="center" w:pos="4536"/>
                <w:tab w:val="right" w:pos="9072"/>
              </w:tabs>
              <w:spacing w:before="80" w:after="0" w:line="240" w:lineRule="exact"/>
              <w:ind w:left="-68"/>
              <w:rPr>
                <w:sz w:val="20"/>
              </w:rPr>
            </w:pPr>
            <w:r>
              <w:rPr>
                <w:sz w:val="20"/>
              </w:rPr>
              <w:t xml:space="preserve">Gemarkung </w:t>
            </w:r>
            <w:proofErr w:type="spellStart"/>
            <w:r>
              <w:rPr>
                <w:sz w:val="20"/>
              </w:rPr>
              <w:t>Agathenburg</w:t>
            </w:r>
            <w:proofErr w:type="spellEnd"/>
            <w:r>
              <w:rPr>
                <w:sz w:val="20"/>
              </w:rPr>
              <w:t>, Flur 23, Flurstücke 32, 50, 55, Flur 25, Flurstücke 3, 8</w:t>
            </w:r>
          </w:p>
        </w:tc>
      </w:tr>
    </w:tbl>
    <w:p w:rsidR="004C0353" w:rsidRDefault="004C0353" w:rsidP="004D235F">
      <w:pPr>
        <w:spacing w:after="0"/>
      </w:pPr>
    </w:p>
    <w:p w:rsidR="00A60D58" w:rsidRDefault="00A60D58" w:rsidP="00A60D58">
      <w:pPr>
        <w:rPr>
          <w:b/>
        </w:rPr>
      </w:pPr>
      <w:r>
        <w:rPr>
          <w:b/>
        </w:rPr>
        <w:t xml:space="preserve">Bekanntmachung der standortbezogenen Vorprüfung des Einzelfalls nach § 5 Abs. 2 UVPG zum </w:t>
      </w:r>
      <w:proofErr w:type="spellStart"/>
      <w:r>
        <w:rPr>
          <w:b/>
        </w:rPr>
        <w:t>Vorbescheidsantrag</w:t>
      </w:r>
      <w:proofErr w:type="spellEnd"/>
      <w:r>
        <w:rPr>
          <w:b/>
        </w:rPr>
        <w:t xml:space="preserve"> </w:t>
      </w:r>
      <w:proofErr w:type="spellStart"/>
      <w:r>
        <w:rPr>
          <w:b/>
        </w:rPr>
        <w:t>Repowering</w:t>
      </w:r>
      <w:proofErr w:type="spellEnd"/>
      <w:r>
        <w:rPr>
          <w:b/>
        </w:rPr>
        <w:t xml:space="preserve"> des Windparks </w:t>
      </w:r>
      <w:proofErr w:type="spellStart"/>
      <w:r>
        <w:rPr>
          <w:b/>
        </w:rPr>
        <w:t>Agathenburg</w:t>
      </w:r>
      <w:proofErr w:type="spellEnd"/>
    </w:p>
    <w:p w:rsidR="00A60D58" w:rsidRDefault="00A60D58" w:rsidP="00A60D58">
      <w:pPr>
        <w:jc w:val="both"/>
      </w:pPr>
      <w:r>
        <w:t xml:space="preserve">Die PNG AG plant ein </w:t>
      </w:r>
      <w:proofErr w:type="spellStart"/>
      <w:r>
        <w:t>Repowering</w:t>
      </w:r>
      <w:proofErr w:type="spellEnd"/>
      <w:r>
        <w:t xml:space="preserve"> des Windparks </w:t>
      </w:r>
      <w:proofErr w:type="spellStart"/>
      <w:r>
        <w:t>Agathenburg</w:t>
      </w:r>
      <w:proofErr w:type="spellEnd"/>
      <w:r>
        <w:t xml:space="preserve">. An dem Standort befinden sich derzeit neun Windenergieanlagen vom Typ Euroturbine 550/41 mit einer Gesamthöhe von 62,8 m und einer Nennleistung von 550 kW. Bei Realisierung des Vorhabens sollen diese neun WEA zurückgebaut und durch fünf neue WEA vom Typs </w:t>
      </w:r>
      <w:proofErr w:type="spellStart"/>
      <w:r>
        <w:t>Vestas</w:t>
      </w:r>
      <w:proofErr w:type="spellEnd"/>
      <w:r>
        <w:t xml:space="preserve"> V162-7.2 MW, mit einer Nennleistung von 7200 kW, einer Nabenhöhe von 122 m und einer Gesamthöhe von 203 m, ersetzt werden. </w:t>
      </w:r>
    </w:p>
    <w:p w:rsidR="00A60D58" w:rsidRDefault="00A60D58" w:rsidP="00A60D58">
      <w:pPr>
        <w:jc w:val="both"/>
      </w:pPr>
      <w:r>
        <w:t xml:space="preserve">Die Standorte der geplanten Windenergieanlagen liegen östlich der Ortschaft </w:t>
      </w:r>
      <w:proofErr w:type="spellStart"/>
      <w:r>
        <w:t>Agathenburg</w:t>
      </w:r>
      <w:proofErr w:type="spellEnd"/>
      <w:r>
        <w:t xml:space="preserve"> und westlich der Ortschaft Steinkirchen und bestimmen sich wie folgt:</w:t>
      </w:r>
    </w:p>
    <w:tbl>
      <w:tblPr>
        <w:tblStyle w:val="Tabellenraster"/>
        <w:tblW w:w="0" w:type="auto"/>
        <w:tblInd w:w="503" w:type="dxa"/>
        <w:tblLook w:val="04A0" w:firstRow="1" w:lastRow="0" w:firstColumn="1" w:lastColumn="0" w:noHBand="0" w:noVBand="1"/>
      </w:tblPr>
      <w:tblGrid>
        <w:gridCol w:w="1028"/>
        <w:gridCol w:w="2401"/>
        <w:gridCol w:w="878"/>
        <w:gridCol w:w="1506"/>
      </w:tblGrid>
      <w:tr w:rsidR="00A60D58" w:rsidTr="00A60D58">
        <w:trPr>
          <w:trHeight w:val="347"/>
        </w:trPr>
        <w:tc>
          <w:tcPr>
            <w:tcW w:w="102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WEA</w:t>
            </w:r>
          </w:p>
        </w:tc>
        <w:tc>
          <w:tcPr>
            <w:tcW w:w="2401"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Gemarkung</w:t>
            </w:r>
          </w:p>
        </w:tc>
        <w:tc>
          <w:tcPr>
            <w:tcW w:w="87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Flur</w:t>
            </w:r>
          </w:p>
        </w:tc>
        <w:tc>
          <w:tcPr>
            <w:tcW w:w="1506"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Flurstück</w:t>
            </w:r>
          </w:p>
        </w:tc>
      </w:tr>
      <w:tr w:rsidR="00A60D58" w:rsidTr="00A60D58">
        <w:trPr>
          <w:trHeight w:val="326"/>
        </w:trPr>
        <w:tc>
          <w:tcPr>
            <w:tcW w:w="102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01</w:t>
            </w:r>
          </w:p>
        </w:tc>
        <w:tc>
          <w:tcPr>
            <w:tcW w:w="2401"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proofErr w:type="spellStart"/>
            <w:r>
              <w:rPr>
                <w:lang w:eastAsia="en-US"/>
              </w:rPr>
              <w:t>Agathenburg</w:t>
            </w:r>
            <w:proofErr w:type="spellEnd"/>
          </w:p>
        </w:tc>
        <w:tc>
          <w:tcPr>
            <w:tcW w:w="87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25</w:t>
            </w:r>
          </w:p>
        </w:tc>
        <w:tc>
          <w:tcPr>
            <w:tcW w:w="1506" w:type="dxa"/>
            <w:tcBorders>
              <w:top w:val="single" w:sz="4" w:space="0" w:color="auto"/>
              <w:left w:val="single" w:sz="4" w:space="0" w:color="auto"/>
              <w:bottom w:val="single" w:sz="4" w:space="0" w:color="auto"/>
              <w:right w:val="single" w:sz="4" w:space="0" w:color="auto"/>
            </w:tcBorders>
            <w:vAlign w:val="center"/>
            <w:hideMark/>
          </w:tcPr>
          <w:p w:rsidR="00A60D58" w:rsidRDefault="00A60D58">
            <w:pPr>
              <w:jc w:val="center"/>
              <w:rPr>
                <w:lang w:eastAsia="en-US"/>
              </w:rPr>
            </w:pPr>
            <w:r>
              <w:rPr>
                <w:lang w:eastAsia="en-US"/>
              </w:rPr>
              <w:t>3</w:t>
            </w:r>
          </w:p>
        </w:tc>
      </w:tr>
      <w:tr w:rsidR="00A60D58" w:rsidTr="00A60D58">
        <w:trPr>
          <w:trHeight w:val="347"/>
        </w:trPr>
        <w:tc>
          <w:tcPr>
            <w:tcW w:w="102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02</w:t>
            </w:r>
          </w:p>
        </w:tc>
        <w:tc>
          <w:tcPr>
            <w:tcW w:w="2401"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proofErr w:type="spellStart"/>
            <w:r>
              <w:rPr>
                <w:lang w:eastAsia="en-US"/>
              </w:rPr>
              <w:t>Agathenburg</w:t>
            </w:r>
            <w:proofErr w:type="spellEnd"/>
          </w:p>
        </w:tc>
        <w:tc>
          <w:tcPr>
            <w:tcW w:w="87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23</w:t>
            </w:r>
          </w:p>
        </w:tc>
        <w:tc>
          <w:tcPr>
            <w:tcW w:w="1506" w:type="dxa"/>
            <w:tcBorders>
              <w:top w:val="single" w:sz="4" w:space="0" w:color="auto"/>
              <w:left w:val="single" w:sz="4" w:space="0" w:color="auto"/>
              <w:bottom w:val="single" w:sz="4" w:space="0" w:color="auto"/>
              <w:right w:val="single" w:sz="4" w:space="0" w:color="auto"/>
            </w:tcBorders>
            <w:vAlign w:val="center"/>
            <w:hideMark/>
          </w:tcPr>
          <w:p w:rsidR="00A60D58" w:rsidRDefault="00A60D58">
            <w:pPr>
              <w:jc w:val="center"/>
              <w:rPr>
                <w:lang w:eastAsia="en-US"/>
              </w:rPr>
            </w:pPr>
            <w:r>
              <w:rPr>
                <w:lang w:eastAsia="en-US"/>
              </w:rPr>
              <w:t>55</w:t>
            </w:r>
          </w:p>
        </w:tc>
      </w:tr>
      <w:tr w:rsidR="00A60D58" w:rsidTr="00A60D58">
        <w:trPr>
          <w:trHeight w:val="326"/>
        </w:trPr>
        <w:tc>
          <w:tcPr>
            <w:tcW w:w="102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03</w:t>
            </w:r>
          </w:p>
        </w:tc>
        <w:tc>
          <w:tcPr>
            <w:tcW w:w="2401"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proofErr w:type="spellStart"/>
            <w:r>
              <w:rPr>
                <w:lang w:eastAsia="en-US"/>
              </w:rPr>
              <w:t>Agathenburg</w:t>
            </w:r>
            <w:proofErr w:type="spellEnd"/>
          </w:p>
        </w:tc>
        <w:tc>
          <w:tcPr>
            <w:tcW w:w="87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25</w:t>
            </w:r>
          </w:p>
        </w:tc>
        <w:tc>
          <w:tcPr>
            <w:tcW w:w="1506" w:type="dxa"/>
            <w:tcBorders>
              <w:top w:val="single" w:sz="4" w:space="0" w:color="auto"/>
              <w:left w:val="single" w:sz="4" w:space="0" w:color="auto"/>
              <w:bottom w:val="single" w:sz="4" w:space="0" w:color="auto"/>
              <w:right w:val="single" w:sz="4" w:space="0" w:color="auto"/>
            </w:tcBorders>
            <w:vAlign w:val="center"/>
            <w:hideMark/>
          </w:tcPr>
          <w:p w:rsidR="00A60D58" w:rsidRDefault="00A60D58">
            <w:pPr>
              <w:jc w:val="center"/>
              <w:rPr>
                <w:lang w:eastAsia="en-US"/>
              </w:rPr>
            </w:pPr>
            <w:r>
              <w:rPr>
                <w:lang w:eastAsia="en-US"/>
              </w:rPr>
              <w:t>8</w:t>
            </w:r>
          </w:p>
        </w:tc>
      </w:tr>
      <w:tr w:rsidR="00A60D58" w:rsidTr="00A60D58">
        <w:trPr>
          <w:trHeight w:val="347"/>
        </w:trPr>
        <w:tc>
          <w:tcPr>
            <w:tcW w:w="102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04</w:t>
            </w:r>
          </w:p>
        </w:tc>
        <w:tc>
          <w:tcPr>
            <w:tcW w:w="2401"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proofErr w:type="spellStart"/>
            <w:r>
              <w:rPr>
                <w:lang w:eastAsia="en-US"/>
              </w:rPr>
              <w:t>Agathenburg</w:t>
            </w:r>
            <w:proofErr w:type="spellEnd"/>
          </w:p>
        </w:tc>
        <w:tc>
          <w:tcPr>
            <w:tcW w:w="87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23</w:t>
            </w:r>
          </w:p>
        </w:tc>
        <w:tc>
          <w:tcPr>
            <w:tcW w:w="1506" w:type="dxa"/>
            <w:tcBorders>
              <w:top w:val="single" w:sz="4" w:space="0" w:color="auto"/>
              <w:left w:val="single" w:sz="4" w:space="0" w:color="auto"/>
              <w:bottom w:val="single" w:sz="4" w:space="0" w:color="auto"/>
              <w:right w:val="single" w:sz="4" w:space="0" w:color="auto"/>
            </w:tcBorders>
            <w:vAlign w:val="center"/>
            <w:hideMark/>
          </w:tcPr>
          <w:p w:rsidR="00A60D58" w:rsidRDefault="00A60D58">
            <w:pPr>
              <w:jc w:val="center"/>
              <w:rPr>
                <w:lang w:eastAsia="en-US"/>
              </w:rPr>
            </w:pPr>
            <w:r>
              <w:rPr>
                <w:lang w:eastAsia="en-US"/>
              </w:rPr>
              <w:t>32</w:t>
            </w:r>
          </w:p>
        </w:tc>
      </w:tr>
      <w:tr w:rsidR="00A60D58" w:rsidTr="00A60D58">
        <w:trPr>
          <w:trHeight w:val="326"/>
        </w:trPr>
        <w:tc>
          <w:tcPr>
            <w:tcW w:w="102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05</w:t>
            </w:r>
          </w:p>
        </w:tc>
        <w:tc>
          <w:tcPr>
            <w:tcW w:w="2401"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proofErr w:type="spellStart"/>
            <w:r>
              <w:rPr>
                <w:lang w:eastAsia="en-US"/>
              </w:rPr>
              <w:t>Agathenburg</w:t>
            </w:r>
            <w:proofErr w:type="spellEnd"/>
          </w:p>
        </w:tc>
        <w:tc>
          <w:tcPr>
            <w:tcW w:w="878" w:type="dxa"/>
            <w:tcBorders>
              <w:top w:val="single" w:sz="4" w:space="0" w:color="auto"/>
              <w:left w:val="single" w:sz="4" w:space="0" w:color="auto"/>
              <w:bottom w:val="single" w:sz="4" w:space="0" w:color="auto"/>
              <w:right w:val="single" w:sz="4" w:space="0" w:color="auto"/>
            </w:tcBorders>
            <w:hideMark/>
          </w:tcPr>
          <w:p w:rsidR="00A60D58" w:rsidRDefault="00A60D58">
            <w:pPr>
              <w:jc w:val="both"/>
              <w:rPr>
                <w:lang w:eastAsia="en-US"/>
              </w:rPr>
            </w:pPr>
            <w:r>
              <w:rPr>
                <w:lang w:eastAsia="en-US"/>
              </w:rPr>
              <w:t>23</w:t>
            </w:r>
          </w:p>
        </w:tc>
        <w:tc>
          <w:tcPr>
            <w:tcW w:w="1506" w:type="dxa"/>
            <w:tcBorders>
              <w:top w:val="single" w:sz="4" w:space="0" w:color="auto"/>
              <w:left w:val="single" w:sz="4" w:space="0" w:color="auto"/>
              <w:bottom w:val="single" w:sz="4" w:space="0" w:color="auto"/>
              <w:right w:val="single" w:sz="4" w:space="0" w:color="auto"/>
            </w:tcBorders>
            <w:vAlign w:val="center"/>
            <w:hideMark/>
          </w:tcPr>
          <w:p w:rsidR="00A60D58" w:rsidRDefault="00A60D58">
            <w:pPr>
              <w:jc w:val="center"/>
              <w:rPr>
                <w:lang w:eastAsia="en-US"/>
              </w:rPr>
            </w:pPr>
            <w:r>
              <w:rPr>
                <w:lang w:eastAsia="en-US"/>
              </w:rPr>
              <w:t>50</w:t>
            </w:r>
          </w:p>
        </w:tc>
      </w:tr>
    </w:tbl>
    <w:p w:rsidR="00A60D58" w:rsidRDefault="00A60D58" w:rsidP="00A60D58">
      <w:pPr>
        <w:jc w:val="both"/>
      </w:pPr>
    </w:p>
    <w:p w:rsidR="00A60D58" w:rsidRDefault="00A60D58" w:rsidP="00A60D58">
      <w:pPr>
        <w:jc w:val="both"/>
      </w:pPr>
      <w:r>
        <w:t>Mit dem Vorbescheid soll festgestellt werden, ob für die neuen Anlagen die Voraussetzungen des § 16b Abs. 1 und 2 BImSchG gegeben sind und wenn ja, ob diese bauplanungsrechtlich im Hinblick auf die Ziele der Raumordnung zulässig sind.</w:t>
      </w:r>
    </w:p>
    <w:p w:rsidR="00A60D58" w:rsidRDefault="00A60D58" w:rsidP="00A60D58">
      <w:pPr>
        <w:jc w:val="both"/>
      </w:pPr>
      <w:r>
        <w:t xml:space="preserve">Das Vorhaben unterliegt gemäß dem BImSchG der Genehmigungsbedürftigkeit. Entsprechend § 2 Abs. 6 UVPG unterliegen auch Vorbescheide den Zulassungsentscheidungen dieses Gesetzes. Demnach ist eine Vorprüfung nach § 7 UVPG bereits im </w:t>
      </w:r>
      <w:proofErr w:type="spellStart"/>
      <w:r>
        <w:t>Vorbescheidsverfahren</w:t>
      </w:r>
      <w:proofErr w:type="spellEnd"/>
      <w:r>
        <w:t xml:space="preserve"> nach § 9 UVPG vorzunehmen, um die Umweltauswirkungen der Änderung zu beurteilen. Dies wurde vom Antragsteller ebenfalls beantragt. </w:t>
      </w:r>
    </w:p>
    <w:p w:rsidR="00A60D58" w:rsidRDefault="00A60D58" w:rsidP="00A60D58">
      <w:pPr>
        <w:jc w:val="both"/>
      </w:pPr>
      <w:r>
        <w:t xml:space="preserve">Im Rahmen des </w:t>
      </w:r>
      <w:proofErr w:type="spellStart"/>
      <w:r>
        <w:t>Vorbescheidsverfahrens</w:t>
      </w:r>
      <w:proofErr w:type="spellEnd"/>
      <w:r>
        <w:t xml:space="preserve"> war gemäß § 7 i. V. m. Anlage 1 Ziffer 1.6.3 UVPG eine standortbezogene Vorprüfung des Einzelfalls durchzuführen. Die standortbezogene Prüfung wird als überschlägige Prüfung in zwei Stufen durchgeführt. In der ersten Stufe prüft die zuständige Behörde, ob bei dem Neuvorhaben besondere örtliche Gegebenheiten gemäß den in Anlage 3 Nummer 2.3 aufgeführten Schutzkriterien vorliegen. </w:t>
      </w:r>
    </w:p>
    <w:p w:rsidR="00C1499B" w:rsidRDefault="000D747E" w:rsidP="00A60D58">
      <w:pPr>
        <w:jc w:val="both"/>
      </w:pPr>
      <w:r>
        <w:lastRenderedPageBreak/>
        <w:t>Das Vorhaben befindet sich im „Risikogebiet Küste“, das</w:t>
      </w:r>
      <w:r w:rsidR="00C1499B">
        <w:t xml:space="preserve"> den Bereich der Elbmarsch umfasst, welches als besondere örtliche Gegebenheit zu berücksichtigen ist. Weitere</w:t>
      </w:r>
      <w:r w:rsidR="00226A3B">
        <w:t xml:space="preserve"> </w:t>
      </w:r>
      <w:r w:rsidR="00C1499B">
        <w:t xml:space="preserve">besondere </w:t>
      </w:r>
      <w:r w:rsidR="00226A3B">
        <w:t xml:space="preserve">örtliche Gegebenheiten in Bezug auf die Schutzkriterien der Anlage 3 Nr. 2.3 des UVPG </w:t>
      </w:r>
      <w:r w:rsidR="00C1499B">
        <w:t>liegen nicht vor</w:t>
      </w:r>
      <w:r w:rsidR="00226A3B">
        <w:t>.</w:t>
      </w:r>
    </w:p>
    <w:p w:rsidR="00C1499B" w:rsidRDefault="00C1499B" w:rsidP="00A60D58">
      <w:pPr>
        <w:jc w:val="both"/>
      </w:pPr>
      <w:r>
        <w:t>Daher ist im Rahmen der zweiten Prüfungsstufe gem. § 7 Abs. 2 S. 5 UVPG zu prüfen, ob das Vorhaben unter Berücksichtigung der in Anlage 3 UVPG aufgeführten Kriterien erhebliche nachteilige Umweltauswirkungen haben kann, die die besondere Empfindlichkeit oder die Schutzziele des Gebietes betreffen und nach § 25 Abs. 2 bei der  Zulassungsentscheidung zu berücksichtigen wären.</w:t>
      </w:r>
    </w:p>
    <w:p w:rsidR="00C1499B" w:rsidRDefault="00C1499B" w:rsidP="00A60D58">
      <w:pPr>
        <w:jc w:val="both"/>
      </w:pPr>
      <w:r>
        <w:t>Empfindlichkeit und Schutzziele des „Risikogebietes Küste“ sind streng auf Auswirkung von Vorhaben auf den Küstenschutz und nur sehr eingeschränkt auf Auswirkungen bei Überflutungen zu begrenzen. Das geplante Vorhaben hat keine Auswirkungen auf den Küstenschutz</w:t>
      </w:r>
      <w:r w:rsidR="004D235F">
        <w:t>,</w:t>
      </w:r>
      <w:r w:rsidR="00EF2DB8">
        <w:t xml:space="preserve"> es ist von allen Küstenschutzanlagen mehr als ausreichend weit entfernt. Die Wahrscheinlichkeit einer Überflutung des Windparks </w:t>
      </w:r>
      <w:proofErr w:type="spellStart"/>
      <w:r w:rsidR="00EF2DB8">
        <w:t>Agathenburg</w:t>
      </w:r>
      <w:proofErr w:type="spellEnd"/>
      <w:r w:rsidR="00EF2DB8">
        <w:t xml:space="preserve"> ist extrem gering. Das Vorhaben liegt geschützt hinter der Hauptdeichlinie. Erhebliche nachteilige Umweltauswirkungen des Vorhabens auf die Empfindlichkeit und die Schutzziele des „Risikogebietes Küste“ können ausgeschlossen werden.</w:t>
      </w:r>
      <w:r>
        <w:t xml:space="preserve"> </w:t>
      </w:r>
    </w:p>
    <w:p w:rsidR="00EF2DB8" w:rsidRPr="00EF2DB8" w:rsidRDefault="00EF2DB8" w:rsidP="00EF2DB8">
      <w:pPr>
        <w:jc w:val="both"/>
      </w:pPr>
      <w:r w:rsidRPr="00EF2DB8">
        <w:t xml:space="preserve">Auf der Grundlage der standortbezogenen Vorprüfung des Einzelfalls wird festgestellt, dass zwar besondere örtliche Gegebenheiten gemäß den in Anlage 3 Nr. 2.3 UVPG aufgeführten Schutzkriterien vorliegen, erheblich nachteilige Umweltauswirkungen, die nach § 25 Abs. 2 UVPG bei der Zulassungsentscheidung im Hinblick auf eine wirksame Umweltvorsorge zu berücksichtigen wären, aber nicht zu erwarten sind. </w:t>
      </w:r>
    </w:p>
    <w:p w:rsidR="00A60D58" w:rsidRDefault="00A60D58" w:rsidP="00A60D58">
      <w:pPr>
        <w:jc w:val="both"/>
      </w:pPr>
      <w:r>
        <w:t xml:space="preserve">Eine Pflicht zur Durchführung einer Umweltverträglichkeitsprüfung im Sinne von § 7 Abs. </w:t>
      </w:r>
      <w:r w:rsidR="00226A3B">
        <w:t>2</w:t>
      </w:r>
      <w:r>
        <w:t xml:space="preserve"> S. 3 UVPG besteht daher nicht. </w:t>
      </w:r>
    </w:p>
    <w:p w:rsidR="00A60D58" w:rsidRDefault="00A60D58" w:rsidP="00A60D58">
      <w:pPr>
        <w:jc w:val="both"/>
      </w:pPr>
      <w:r>
        <w:t xml:space="preserve">Diese Feststellung wird gem. § 5 Abs. 2 UVPG öffentlich bekannt gemacht. </w:t>
      </w:r>
    </w:p>
    <w:p w:rsidR="00A60D58" w:rsidRDefault="00A60D58" w:rsidP="00EF2DB8">
      <w:pPr>
        <w:jc w:val="both"/>
      </w:pPr>
      <w:r>
        <w:t>Es wird darauf hingewiesen, dass die Feststellung nicht selbstständig anfechtbar ist (§ 5 Abs. 3 S. 1 UVPG).</w:t>
      </w:r>
    </w:p>
    <w:p w:rsidR="004D235F" w:rsidRPr="00EF2DB8" w:rsidRDefault="004D235F" w:rsidP="00EF2DB8">
      <w:pPr>
        <w:jc w:val="both"/>
      </w:pPr>
    </w:p>
    <w:p w:rsidR="00A60D58" w:rsidRDefault="00A60D58" w:rsidP="00A60D58">
      <w:pPr>
        <w:spacing w:after="0"/>
        <w:rPr>
          <w:rFonts w:cs="Arial"/>
          <w:szCs w:val="22"/>
        </w:rPr>
      </w:pPr>
      <w:r>
        <w:rPr>
          <w:rFonts w:cs="Arial"/>
          <w:szCs w:val="22"/>
        </w:rPr>
        <w:t>Az. 63-4210-10170/23</w:t>
      </w:r>
    </w:p>
    <w:p w:rsidR="00A60D58" w:rsidRDefault="00A60D58" w:rsidP="00A60D58">
      <w:pPr>
        <w:spacing w:after="0"/>
        <w:jc w:val="both"/>
        <w:rPr>
          <w:color w:val="000000"/>
        </w:rPr>
      </w:pPr>
      <w:r>
        <w:rPr>
          <w:color w:val="000000"/>
        </w:rPr>
        <w:t xml:space="preserve">Stade, den </w:t>
      </w:r>
      <w:r>
        <w:rPr>
          <w:rFonts w:cs="Arial"/>
          <w:szCs w:val="22"/>
        </w:rPr>
        <w:t>1</w:t>
      </w:r>
      <w:r w:rsidR="00673B95">
        <w:rPr>
          <w:rFonts w:cs="Arial"/>
          <w:szCs w:val="22"/>
        </w:rPr>
        <w:t>3</w:t>
      </w:r>
      <w:r>
        <w:rPr>
          <w:rFonts w:cs="Arial"/>
          <w:szCs w:val="22"/>
        </w:rPr>
        <w:t>.03.2025</w:t>
      </w:r>
    </w:p>
    <w:p w:rsidR="00A60D58" w:rsidRDefault="00A60D58" w:rsidP="00A60D58">
      <w:pPr>
        <w:jc w:val="both"/>
        <w:rPr>
          <w:color w:val="FF0000"/>
        </w:rPr>
      </w:pPr>
    </w:p>
    <w:p w:rsidR="00A60D58" w:rsidRDefault="00A60D58" w:rsidP="00A60D58">
      <w:pPr>
        <w:spacing w:after="0"/>
        <w:jc w:val="both"/>
        <w:rPr>
          <w:color w:val="000000"/>
        </w:rPr>
      </w:pPr>
      <w:r>
        <w:rPr>
          <w:color w:val="000000"/>
        </w:rPr>
        <w:t>Landkreis Stade</w:t>
      </w:r>
    </w:p>
    <w:p w:rsidR="00A60D58" w:rsidRDefault="00A60D58" w:rsidP="00A60D58">
      <w:pPr>
        <w:spacing w:after="0"/>
        <w:jc w:val="both"/>
        <w:rPr>
          <w:color w:val="000000"/>
        </w:rPr>
      </w:pPr>
      <w:r>
        <w:rPr>
          <w:color w:val="000000"/>
        </w:rPr>
        <w:t>Der Landrat</w:t>
      </w:r>
    </w:p>
    <w:p w:rsidR="00A60D58" w:rsidRDefault="00A60D58" w:rsidP="006E2F55"/>
    <w:p w:rsidR="00D67755" w:rsidRPr="00FE3C24" w:rsidRDefault="00545E6D" w:rsidP="00FE3C24">
      <w:pPr>
        <w:pStyle w:val="KeinLeerraum"/>
        <w:rPr>
          <w:rFonts w:ascii="Arial" w:hAnsi="Arial" w:cs="Arial"/>
        </w:rPr>
      </w:pPr>
      <w:bookmarkStart w:id="1" w:name="_GoBack"/>
      <w:bookmarkEnd w:id="1"/>
    </w:p>
    <w:sectPr w:rsidR="00D67755" w:rsidRPr="00FE3C24" w:rsidSect="00545E6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353" w:rsidRDefault="004C0353" w:rsidP="00AC75DE">
      <w:pPr>
        <w:spacing w:after="0" w:line="240" w:lineRule="auto"/>
      </w:pPr>
      <w:r>
        <w:separator/>
      </w:r>
    </w:p>
  </w:endnote>
  <w:endnote w:type="continuationSeparator" w:id="0">
    <w:p w:rsidR="004C0353" w:rsidRDefault="004C0353" w:rsidP="00AC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5DE" w:rsidRDefault="00AC75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5DE" w:rsidRDefault="00AC75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5DE" w:rsidRDefault="00AC75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353" w:rsidRDefault="004C0353" w:rsidP="00AC75DE">
      <w:pPr>
        <w:spacing w:after="0" w:line="240" w:lineRule="auto"/>
      </w:pPr>
      <w:r>
        <w:separator/>
      </w:r>
    </w:p>
  </w:footnote>
  <w:footnote w:type="continuationSeparator" w:id="0">
    <w:p w:rsidR="004C0353" w:rsidRDefault="004C0353" w:rsidP="00AC7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5DE" w:rsidRDefault="00AC75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5DE" w:rsidRDefault="00AC75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5DE" w:rsidRDefault="00AC75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6DB6"/>
    <w:multiLevelType w:val="hybridMultilevel"/>
    <w:tmpl w:val="0B3C5FF4"/>
    <w:lvl w:ilvl="0" w:tplc="65749E38">
      <w:start w:val="1"/>
      <mc:AlternateContent>
        <mc:Choice Requires="w14">
          <w:numFmt w:val="custom" w:format="0001, 0002, 0003, ..."/>
        </mc:Choice>
        <mc:Fallback>
          <w:numFmt w:val="decimal"/>
        </mc:Fallback>
      </mc:AlternateContent>
      <w:lvlText w:val="%1"/>
      <w:lvlJc w:val="left"/>
      <w:pPr>
        <w:ind w:left="1069"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83110B"/>
    <w:multiLevelType w:val="multilevel"/>
    <w:tmpl w:val="E81C30E8"/>
    <w:styleLink w:val="Amt63LFV"/>
    <w:lvl w:ilvl="0">
      <w:start w:val="1"/>
      <w:numFmt w:val="upperLetter"/>
      <w:pStyle w:val="Amt63NBberschrift1"/>
      <w:lvlText w:val="%1."/>
      <w:lvlJc w:val="left"/>
      <w:pPr>
        <w:tabs>
          <w:tab w:val="num" w:pos="425"/>
        </w:tabs>
        <w:ind w:left="425" w:hanging="425"/>
      </w:pPr>
      <w:rPr>
        <w:rFonts w:ascii="Arial" w:hAnsi="Arial" w:hint="default"/>
        <w:b/>
        <w:color w:val="auto"/>
        <w:sz w:val="22"/>
        <w:u w:val="single"/>
      </w:rPr>
    </w:lvl>
    <w:lvl w:ilvl="1">
      <w:start w:val="1"/>
      <w:numFmt w:val="upperRoman"/>
      <w:pStyle w:val="Amt63NBberschrift2"/>
      <w:lvlText w:val="%2."/>
      <w:lvlJc w:val="left"/>
      <w:pPr>
        <w:tabs>
          <w:tab w:val="num" w:pos="709"/>
        </w:tabs>
        <w:ind w:left="709" w:hanging="284"/>
      </w:pPr>
      <w:rPr>
        <w:rFonts w:ascii="Arial" w:hAnsi="Arial" w:hint="default"/>
        <w:b/>
        <w:sz w:val="22"/>
      </w:rPr>
    </w:lvl>
    <w:lvl w:ilvl="2">
      <w:start w:val="1"/>
      <w:numFmt w:val="decimal"/>
      <w:lvlText w:val="%3."/>
      <w:lvlJc w:val="left"/>
      <w:pPr>
        <w:tabs>
          <w:tab w:val="num" w:pos="992"/>
        </w:tabs>
        <w:ind w:left="992" w:hanging="283"/>
      </w:pPr>
      <w:rPr>
        <w:rFonts w:ascii="Arial" w:hAnsi="Arial" w:hint="default"/>
        <w:sz w:val="22"/>
      </w:rPr>
    </w:lvl>
    <w:lvl w:ilvl="3">
      <w:start w:val="1"/>
      <w:numFmt w:val="lowerLetter"/>
      <w:lvlText w:val="%4."/>
      <w:lvlJc w:val="left"/>
      <w:pPr>
        <w:tabs>
          <w:tab w:val="num" w:pos="1276"/>
        </w:tabs>
        <w:ind w:left="1276" w:hanging="284"/>
      </w:pPr>
      <w:rPr>
        <w:rFonts w:hint="default"/>
      </w:rPr>
    </w:lvl>
    <w:lvl w:ilvl="4">
      <w:start w:val="1"/>
      <w:numFmt w:val="bullet"/>
      <w:lvlText w:val="-"/>
      <w:lvlJc w:val="left"/>
      <w:pPr>
        <w:ind w:left="1701" w:hanging="283"/>
      </w:pPr>
      <w:rPr>
        <w:rFonts w:ascii="Arial" w:hAnsi="Arial" w:hint="default"/>
      </w:rPr>
    </w:lvl>
    <w:lvl w:ilvl="5">
      <w:start w:val="1"/>
      <w:numFmt w:val="bullet"/>
      <w:lvlText w:val=""/>
      <w:lvlJc w:val="left"/>
      <w:pPr>
        <w:ind w:left="1985" w:hanging="284"/>
      </w:pPr>
      <w:rPr>
        <w:rFonts w:ascii="Symbol" w:hAnsi="Symbol" w:hint="default"/>
        <w:color w:val="auto"/>
      </w:rPr>
    </w:lvl>
    <w:lvl w:ilvl="6">
      <w:start w:val="1"/>
      <w:numFmt w:val="bullet"/>
      <w:lvlText w:val=""/>
      <w:lvlJc w:val="left"/>
      <w:pPr>
        <w:ind w:left="2268" w:hanging="283"/>
      </w:pPr>
      <w:rPr>
        <w:rFonts w:ascii="Symbol" w:hAnsi="Symbol" w:hint="default"/>
        <w:color w:val="auto"/>
      </w:rPr>
    </w:lvl>
    <w:lvl w:ilvl="7">
      <w:start w:val="1"/>
      <w:numFmt w:val="bullet"/>
      <w:lvlText w:val="o"/>
      <w:lvlJc w:val="left"/>
      <w:pPr>
        <w:ind w:left="2552" w:hanging="284"/>
      </w:pPr>
      <w:rPr>
        <w:rFonts w:ascii="Wingdings" w:hAnsi="Wingdings" w:hint="default"/>
      </w:rPr>
    </w:lvl>
    <w:lvl w:ilvl="8">
      <w:start w:val="1"/>
      <w:numFmt w:val="decimalZero"/>
      <w:lvlText w:val="%9."/>
      <w:lvlJc w:val="left"/>
      <w:pPr>
        <w:ind w:left="2835" w:hanging="283"/>
      </w:pPr>
      <w:rPr>
        <w:rFonts w:hint="default"/>
      </w:rPr>
    </w:lvl>
  </w:abstractNum>
  <w:abstractNum w:abstractNumId="2" w15:restartNumberingAfterBreak="0">
    <w:nsid w:val="35EB2ADF"/>
    <w:multiLevelType w:val="multilevel"/>
    <w:tmpl w:val="E81C30E8"/>
    <w:numStyleLink w:val="Amt63LFV"/>
  </w:abstractNum>
  <w:abstractNum w:abstractNumId="3" w15:restartNumberingAfterBreak="0">
    <w:nsid w:val="70F23C45"/>
    <w:multiLevelType w:val="hybridMultilevel"/>
    <w:tmpl w:val="ACFE3C1C"/>
    <w:lvl w:ilvl="0" w:tplc="52285386">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lvlOverride w:ilvl="0">
      <w:lvl w:ilvl="0">
        <w:start w:val="1"/>
        <w:numFmt w:val="upperLetter"/>
        <w:pStyle w:val="Amt63NBberschrift1"/>
        <w:lvlText w:val="%1."/>
        <w:lvlJc w:val="left"/>
        <w:pPr>
          <w:tabs>
            <w:tab w:val="num" w:pos="425"/>
          </w:tabs>
          <w:ind w:left="425" w:hanging="425"/>
        </w:pPr>
        <w:rPr>
          <w:rFonts w:ascii="Arial" w:hAnsi="Arial" w:hint="default"/>
          <w:b/>
          <w:color w:val="auto"/>
          <w:sz w:val="22"/>
          <w:u w:val="none"/>
        </w:rPr>
      </w:lvl>
    </w:lvlOverride>
  </w:num>
  <w:num w:numId="3">
    <w:abstractNumId w:val="2"/>
    <w:lvlOverride w:ilvl="0">
      <w:lvl w:ilvl="0">
        <w:start w:val="1"/>
        <w:numFmt w:val="upperLetter"/>
        <w:pStyle w:val="Amt63NBberschrift1"/>
        <w:lvlText w:val="%1."/>
        <w:lvlJc w:val="left"/>
        <w:pPr>
          <w:tabs>
            <w:tab w:val="num" w:pos="425"/>
          </w:tabs>
          <w:ind w:left="425" w:hanging="425"/>
        </w:pPr>
        <w:rPr>
          <w:rFonts w:ascii="Arial" w:hAnsi="Arial" w:hint="default"/>
          <w:b/>
          <w:color w:val="auto"/>
          <w:sz w:val="22"/>
          <w:u w:val="none"/>
        </w:rPr>
      </w:lvl>
    </w:lvlOverride>
  </w:num>
  <w:num w:numId="4">
    <w:abstractNumId w:val="0"/>
  </w:num>
  <w:num w:numId="5">
    <w:abstractNumId w:val="2"/>
    <w:lvlOverride w:ilvl="0">
      <w:lvl w:ilvl="0">
        <w:start w:val="1"/>
        <w:numFmt w:val="upperLetter"/>
        <w:pStyle w:val="Amt63NBberschrift1"/>
        <w:lvlText w:val="%1."/>
        <w:lvlJc w:val="left"/>
        <w:pPr>
          <w:tabs>
            <w:tab w:val="num" w:pos="425"/>
          </w:tabs>
          <w:ind w:left="425" w:hanging="425"/>
        </w:pPr>
        <w:rPr>
          <w:rFonts w:ascii="Arial" w:hAnsi="Arial" w:hint="default"/>
          <w:b/>
          <w:color w:val="auto"/>
          <w:sz w:val="22"/>
          <w:u w:val="none"/>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53"/>
    <w:rsid w:val="000D747E"/>
    <w:rsid w:val="000E5C2B"/>
    <w:rsid w:val="00195266"/>
    <w:rsid w:val="00226A3B"/>
    <w:rsid w:val="002F1376"/>
    <w:rsid w:val="00377B37"/>
    <w:rsid w:val="003F5D8B"/>
    <w:rsid w:val="004C0353"/>
    <w:rsid w:val="004D235F"/>
    <w:rsid w:val="00515B1B"/>
    <w:rsid w:val="00545E6D"/>
    <w:rsid w:val="00673B95"/>
    <w:rsid w:val="00A60D58"/>
    <w:rsid w:val="00A70A4C"/>
    <w:rsid w:val="00AC75DE"/>
    <w:rsid w:val="00C1499B"/>
    <w:rsid w:val="00C5405D"/>
    <w:rsid w:val="00EF2DB8"/>
    <w:rsid w:val="00F260F3"/>
    <w:rsid w:val="00FE3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9F168-D5F4-4EF9-9450-C80E1932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5266"/>
    <w:pPr>
      <w:keepLines/>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75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75DE"/>
  </w:style>
  <w:style w:type="paragraph" w:styleId="Fuzeile">
    <w:name w:val="footer"/>
    <w:basedOn w:val="Standard"/>
    <w:link w:val="FuzeileZchn"/>
    <w:uiPriority w:val="99"/>
    <w:unhideWhenUsed/>
    <w:rsid w:val="00AC75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75DE"/>
  </w:style>
  <w:style w:type="paragraph" w:styleId="KeinLeerraum">
    <w:name w:val="No Spacing"/>
    <w:uiPriority w:val="1"/>
    <w:qFormat/>
    <w:rsid w:val="00FE3C24"/>
    <w:pPr>
      <w:spacing w:after="0" w:line="240" w:lineRule="auto"/>
    </w:pPr>
  </w:style>
  <w:style w:type="paragraph" w:customStyle="1" w:styleId="Amt63allgemTextkrper">
    <w:name w:val="Amt63_allgem. Textkörper"/>
    <w:link w:val="Amt63allgemTextkrperZchn"/>
    <w:qFormat/>
    <w:rsid w:val="002F1376"/>
    <w:pPr>
      <w:keepLines/>
      <w:jc w:val="both"/>
    </w:pPr>
    <w:rPr>
      <w:rFonts w:ascii="Arial" w:eastAsia="Times New Roman" w:hAnsi="Arial" w:cs="Arial"/>
      <w:szCs w:val="20"/>
      <w:lang w:eastAsia="de-DE"/>
    </w:rPr>
  </w:style>
  <w:style w:type="character" w:customStyle="1" w:styleId="Amt63allgemTextkrperZchn">
    <w:name w:val="Amt63_allgem. Textkörper Zchn"/>
    <w:basedOn w:val="Absatz-Standardschriftart"/>
    <w:link w:val="Amt63allgemTextkrper"/>
    <w:rsid w:val="002F1376"/>
    <w:rPr>
      <w:rFonts w:ascii="Arial" w:eastAsia="Times New Roman" w:hAnsi="Arial" w:cs="Arial"/>
      <w:szCs w:val="20"/>
      <w:lang w:eastAsia="de-DE"/>
    </w:rPr>
  </w:style>
  <w:style w:type="paragraph" w:customStyle="1" w:styleId="Amt63Betreff">
    <w:name w:val="Amt63_Betreff"/>
    <w:link w:val="Amt63BetreffZchn"/>
    <w:qFormat/>
    <w:rsid w:val="002F1376"/>
    <w:pPr>
      <w:keepLines/>
      <w:spacing w:after="400" w:line="240" w:lineRule="auto"/>
    </w:pPr>
    <w:rPr>
      <w:rFonts w:ascii="Arial" w:eastAsia="Times New Roman" w:hAnsi="Arial" w:cs="Arial"/>
      <w:b/>
      <w:szCs w:val="20"/>
      <w:lang w:eastAsia="de-DE"/>
    </w:rPr>
  </w:style>
  <w:style w:type="character" w:customStyle="1" w:styleId="Amt63BetreffZchn">
    <w:name w:val="Amt63_Betreff Zchn"/>
    <w:basedOn w:val="Absatz-Standardschriftart"/>
    <w:link w:val="Amt63Betreff"/>
    <w:rsid w:val="002F1376"/>
    <w:rPr>
      <w:rFonts w:ascii="Arial" w:eastAsia="Times New Roman" w:hAnsi="Arial" w:cs="Arial"/>
      <w:b/>
      <w:szCs w:val="20"/>
      <w:lang w:eastAsia="de-DE"/>
    </w:rPr>
  </w:style>
  <w:style w:type="paragraph" w:customStyle="1" w:styleId="Amt63FU">
    <w:name w:val="Amt63_FU"/>
    <w:link w:val="Amt63FUZchn"/>
    <w:qFormat/>
    <w:rsid w:val="002F1376"/>
    <w:pPr>
      <w:tabs>
        <w:tab w:val="left" w:pos="1701"/>
      </w:tabs>
      <w:ind w:left="1701" w:hanging="1701"/>
    </w:pPr>
    <w:rPr>
      <w:rFonts w:ascii="Arial" w:eastAsia="Times New Roman" w:hAnsi="Arial" w:cs="Arial"/>
      <w:szCs w:val="20"/>
      <w:lang w:eastAsia="de-DE"/>
    </w:rPr>
  </w:style>
  <w:style w:type="character" w:customStyle="1" w:styleId="Amt63FUZchn">
    <w:name w:val="Amt63_FU Zchn"/>
    <w:basedOn w:val="Absatz-Standardschriftart"/>
    <w:link w:val="Amt63FU"/>
    <w:rsid w:val="002F1376"/>
    <w:rPr>
      <w:rFonts w:ascii="Arial" w:eastAsia="Times New Roman" w:hAnsi="Arial" w:cs="Arial"/>
      <w:szCs w:val="20"/>
      <w:lang w:eastAsia="de-DE"/>
    </w:rPr>
  </w:style>
  <w:style w:type="paragraph" w:customStyle="1" w:styleId="Amt63Grussformel">
    <w:name w:val="Amt63_Grussformel"/>
    <w:link w:val="Amt63GrussformelZchn"/>
    <w:qFormat/>
    <w:rsid w:val="002F1376"/>
    <w:pPr>
      <w:keepLines/>
      <w:spacing w:before="480" w:line="240" w:lineRule="auto"/>
    </w:pPr>
    <w:rPr>
      <w:rFonts w:ascii="Arial" w:eastAsia="Times New Roman" w:hAnsi="Arial" w:cs="Arial"/>
      <w:szCs w:val="20"/>
      <w:lang w:eastAsia="de-DE"/>
    </w:rPr>
  </w:style>
  <w:style w:type="character" w:customStyle="1" w:styleId="Amt63GrussformelZchn">
    <w:name w:val="Amt63_Grussformel Zchn"/>
    <w:basedOn w:val="Absatz-Standardschriftart"/>
    <w:link w:val="Amt63Grussformel"/>
    <w:rsid w:val="002F1376"/>
    <w:rPr>
      <w:rFonts w:ascii="Arial" w:eastAsia="Times New Roman" w:hAnsi="Arial" w:cs="Arial"/>
      <w:szCs w:val="20"/>
      <w:lang w:eastAsia="de-DE"/>
    </w:rPr>
  </w:style>
  <w:style w:type="paragraph" w:customStyle="1" w:styleId="Amt63Hinweis">
    <w:name w:val="Amt63_Hinweis"/>
    <w:link w:val="Amt63HinweisZchn"/>
    <w:qFormat/>
    <w:rsid w:val="002F1376"/>
    <w:pPr>
      <w:keepLines/>
      <w:jc w:val="both"/>
    </w:pPr>
    <w:rPr>
      <w:rFonts w:ascii="Arial" w:eastAsia="Times New Roman" w:hAnsi="Arial" w:cs="Arial"/>
      <w:sz w:val="16"/>
      <w:szCs w:val="16"/>
      <w:lang w:eastAsia="de-DE"/>
    </w:rPr>
  </w:style>
  <w:style w:type="character" w:customStyle="1" w:styleId="Amt63HinweisZchn">
    <w:name w:val="Amt63_Hinweis Zchn"/>
    <w:basedOn w:val="Absatz-Standardschriftart"/>
    <w:link w:val="Amt63Hinweis"/>
    <w:rsid w:val="002F1376"/>
    <w:rPr>
      <w:rFonts w:ascii="Arial" w:eastAsia="Times New Roman" w:hAnsi="Arial" w:cs="Arial"/>
      <w:sz w:val="16"/>
      <w:szCs w:val="16"/>
      <w:lang w:eastAsia="de-DE"/>
    </w:rPr>
  </w:style>
  <w:style w:type="numbering" w:customStyle="1" w:styleId="Amt63LFV">
    <w:name w:val="Amt63_LFV"/>
    <w:uiPriority w:val="99"/>
    <w:rsid w:val="002F1376"/>
    <w:pPr>
      <w:numPr>
        <w:numId w:val="1"/>
      </w:numPr>
    </w:pPr>
  </w:style>
  <w:style w:type="paragraph" w:customStyle="1" w:styleId="Amt63NBberschrift1">
    <w:name w:val="Amt63_NB_Überschrift 1"/>
    <w:link w:val="Amt63NBberschrift1Zchn"/>
    <w:autoRedefine/>
    <w:qFormat/>
    <w:rsid w:val="002F1376"/>
    <w:pPr>
      <w:keepLines/>
      <w:numPr>
        <w:numId w:val="5"/>
      </w:numPr>
      <w:tabs>
        <w:tab w:val="left" w:pos="851"/>
      </w:tabs>
      <w:spacing w:before="120" w:after="120"/>
      <w:jc w:val="both"/>
      <w:outlineLvl w:val="0"/>
    </w:pPr>
    <w:rPr>
      <w:rFonts w:ascii="Arial" w:eastAsia="Times New Roman" w:hAnsi="Arial" w:cs="Arial"/>
      <w:b/>
      <w:szCs w:val="20"/>
      <w:u w:val="single"/>
      <w:lang w:eastAsia="de-DE"/>
    </w:rPr>
  </w:style>
  <w:style w:type="character" w:customStyle="1" w:styleId="Amt63NBberschrift1Zchn">
    <w:name w:val="Amt63_NB_Überschrift 1 Zchn"/>
    <w:basedOn w:val="Absatz-Standardschriftart"/>
    <w:link w:val="Amt63NBberschrift1"/>
    <w:rsid w:val="002F1376"/>
    <w:rPr>
      <w:rFonts w:ascii="Arial" w:eastAsia="Times New Roman" w:hAnsi="Arial" w:cs="Arial"/>
      <w:b/>
      <w:szCs w:val="20"/>
      <w:u w:val="single"/>
      <w:lang w:eastAsia="de-DE"/>
    </w:rPr>
  </w:style>
  <w:style w:type="paragraph" w:customStyle="1" w:styleId="Amt63NBberschrift2">
    <w:name w:val="Amt63_NB_Überschrift 2"/>
    <w:link w:val="Amt63NBberschrift2Zchn"/>
    <w:qFormat/>
    <w:rsid w:val="002F1376"/>
    <w:pPr>
      <w:keepLines/>
      <w:numPr>
        <w:ilvl w:val="1"/>
        <w:numId w:val="5"/>
      </w:numPr>
      <w:tabs>
        <w:tab w:val="left" w:pos="851"/>
      </w:tabs>
      <w:spacing w:before="120"/>
      <w:outlineLvl w:val="1"/>
    </w:pPr>
    <w:rPr>
      <w:rFonts w:ascii="Arial" w:eastAsia="Times New Roman" w:hAnsi="Arial" w:cs="Arial"/>
      <w:b/>
      <w:szCs w:val="20"/>
      <w:lang w:eastAsia="de-DE"/>
    </w:rPr>
  </w:style>
  <w:style w:type="character" w:customStyle="1" w:styleId="Amt63NBberschrift2Zchn">
    <w:name w:val="Amt63_NB_Überschrift 2 Zchn"/>
    <w:basedOn w:val="Absatz-Standardschriftart"/>
    <w:link w:val="Amt63NBberschrift2"/>
    <w:rsid w:val="002F1376"/>
    <w:rPr>
      <w:rFonts w:ascii="Arial" w:eastAsia="Times New Roman" w:hAnsi="Arial" w:cs="Arial"/>
      <w:b/>
      <w:szCs w:val="20"/>
      <w:lang w:eastAsia="de-DE"/>
    </w:rPr>
  </w:style>
  <w:style w:type="paragraph" w:customStyle="1" w:styleId="Amt63Nebenbest4-Ziffer">
    <w:name w:val="Amt63_Nebenbest_4-Ziffer"/>
    <w:link w:val="Amt63Nebenbest4-ZifferZchn"/>
    <w:qFormat/>
    <w:rsid w:val="002F1376"/>
    <w:pPr>
      <w:tabs>
        <w:tab w:val="left" w:pos="1134"/>
      </w:tabs>
      <w:jc w:val="both"/>
    </w:pPr>
    <w:rPr>
      <w:rFonts w:ascii="Arial" w:eastAsia="Times New Roman" w:hAnsi="Arial" w:cs="Times New Roman"/>
      <w:szCs w:val="20"/>
      <w:lang w:eastAsia="de-DE"/>
    </w:rPr>
  </w:style>
  <w:style w:type="character" w:customStyle="1" w:styleId="Amt63Nebenbest4-ZifferZchn">
    <w:name w:val="Amt63_Nebenbest_4-Ziffer Zchn"/>
    <w:basedOn w:val="Absatz-Standardschriftart"/>
    <w:link w:val="Amt63Nebenbest4-Ziffer"/>
    <w:rsid w:val="002F1376"/>
    <w:rPr>
      <w:rFonts w:ascii="Arial" w:eastAsia="Times New Roman" w:hAnsi="Arial" w:cs="Times New Roman"/>
      <w:szCs w:val="20"/>
      <w:lang w:eastAsia="de-DE"/>
    </w:rPr>
  </w:style>
  <w:style w:type="paragraph" w:customStyle="1" w:styleId="Amt63NebenbestohneZiffer">
    <w:name w:val="Amt63_Nebenbest_ohne Ziffer"/>
    <w:basedOn w:val="Standard"/>
    <w:link w:val="Amt63NebenbestohneZifferZchn"/>
    <w:qFormat/>
    <w:rsid w:val="002F1376"/>
    <w:pPr>
      <w:tabs>
        <w:tab w:val="left" w:pos="993"/>
      </w:tabs>
      <w:ind w:left="993" w:hanging="993"/>
      <w:jc w:val="both"/>
    </w:pPr>
  </w:style>
  <w:style w:type="character" w:customStyle="1" w:styleId="Amt63NebenbestohneZifferZchn">
    <w:name w:val="Amt63_Nebenbest_ohne Ziffer Zchn"/>
    <w:basedOn w:val="Absatz-Standardschriftart"/>
    <w:link w:val="Amt63NebenbestohneZiffer"/>
    <w:rsid w:val="002F1376"/>
    <w:rPr>
      <w:rFonts w:ascii="Arial" w:eastAsia="Times New Roman" w:hAnsi="Arial" w:cs="Times New Roman"/>
      <w:szCs w:val="20"/>
      <w:lang w:eastAsia="de-DE"/>
    </w:rPr>
  </w:style>
  <w:style w:type="paragraph" w:customStyle="1" w:styleId="Amt63Nebenbestimmungen">
    <w:name w:val="Amt63_Nebenbestimmungen"/>
    <w:link w:val="Amt63NebenbestimmungenZchn"/>
    <w:qFormat/>
    <w:rsid w:val="002F1376"/>
    <w:pPr>
      <w:tabs>
        <w:tab w:val="left" w:pos="851"/>
      </w:tabs>
      <w:jc w:val="both"/>
      <w:outlineLvl w:val="2"/>
    </w:pPr>
    <w:rPr>
      <w:rFonts w:ascii="Arial" w:eastAsia="Times New Roman" w:hAnsi="Arial" w:cs="Arial"/>
      <w:szCs w:val="20"/>
      <w:lang w:eastAsia="de-DE"/>
    </w:rPr>
  </w:style>
  <w:style w:type="character" w:customStyle="1" w:styleId="Amt63NebenbestimmungenZchn">
    <w:name w:val="Amt63_Nebenbestimmungen Zchn"/>
    <w:basedOn w:val="Absatz-Standardschriftart"/>
    <w:link w:val="Amt63Nebenbestimmungen"/>
    <w:rsid w:val="002F1376"/>
    <w:rPr>
      <w:rFonts w:ascii="Arial" w:eastAsia="Times New Roman" w:hAnsi="Arial" w:cs="Arial"/>
      <w:szCs w:val="20"/>
      <w:lang w:eastAsia="de-DE"/>
    </w:rPr>
  </w:style>
  <w:style w:type="paragraph" w:customStyle="1" w:styleId="Amt63Tabelle">
    <w:name w:val="Amt63_Tabelle"/>
    <w:basedOn w:val="Standard"/>
    <w:link w:val="Amt63TabelleZchn"/>
    <w:qFormat/>
    <w:rsid w:val="002F1376"/>
    <w:pPr>
      <w:spacing w:after="0"/>
    </w:pPr>
    <w:rPr>
      <w:rFonts w:cs="Arial"/>
      <w:szCs w:val="22"/>
      <w:lang w:eastAsia="en-US"/>
    </w:rPr>
  </w:style>
  <w:style w:type="character" w:customStyle="1" w:styleId="Amt63TabelleZchn">
    <w:name w:val="Amt63_Tabelle Zchn"/>
    <w:basedOn w:val="Absatz-Standardschriftart"/>
    <w:link w:val="Amt63Tabelle"/>
    <w:rsid w:val="002F1376"/>
    <w:rPr>
      <w:rFonts w:ascii="Arial" w:eastAsia="Times New Roman" w:hAnsi="Arial" w:cs="Arial"/>
    </w:rPr>
  </w:style>
  <w:style w:type="paragraph" w:customStyle="1" w:styleId="Amt63TKberschrift">
    <w:name w:val="Amt63_TK_Überschrift"/>
    <w:link w:val="Amt63TKberschriftZchn"/>
    <w:qFormat/>
    <w:rsid w:val="002F1376"/>
    <w:pPr>
      <w:keepLines/>
      <w:spacing w:before="120"/>
    </w:pPr>
    <w:rPr>
      <w:rFonts w:ascii="Arial" w:eastAsia="Times New Roman" w:hAnsi="Arial" w:cs="Arial"/>
      <w:b/>
      <w:szCs w:val="20"/>
      <w:lang w:eastAsia="de-DE"/>
    </w:rPr>
  </w:style>
  <w:style w:type="character" w:customStyle="1" w:styleId="Amt63TKberschriftZchn">
    <w:name w:val="Amt63_TK_Überschrift Zchn"/>
    <w:basedOn w:val="Absatz-Standardschriftart"/>
    <w:link w:val="Amt63TKberschrift"/>
    <w:rsid w:val="002F1376"/>
    <w:rPr>
      <w:rFonts w:ascii="Arial" w:eastAsia="Times New Roman" w:hAnsi="Arial" w:cs="Arial"/>
      <w:b/>
      <w:szCs w:val="20"/>
      <w:lang w:eastAsia="de-DE"/>
    </w:rPr>
  </w:style>
  <w:style w:type="paragraph" w:styleId="Listenabsatz">
    <w:name w:val="List Paragraph"/>
    <w:basedOn w:val="Standard"/>
    <w:uiPriority w:val="34"/>
    <w:qFormat/>
    <w:rsid w:val="004C0353"/>
    <w:pPr>
      <w:keepLines w:val="0"/>
      <w:spacing w:after="0" w:line="240" w:lineRule="auto"/>
      <w:ind w:left="720"/>
      <w:contextualSpacing/>
    </w:pPr>
    <w:rPr>
      <w:rFonts w:eastAsia="Calibri" w:cs="Arial"/>
      <w:szCs w:val="22"/>
    </w:rPr>
  </w:style>
  <w:style w:type="table" w:styleId="Tabellenraster">
    <w:name w:val="Table Grid"/>
    <w:basedOn w:val="NormaleTabelle"/>
    <w:uiPriority w:val="59"/>
    <w:rsid w:val="00A60D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2D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3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Landkreis-Stade</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Engelbrecht, Janine</dc:creator>
  <cp:keywords/>
  <dc:description/>
  <cp:lastModifiedBy>Engelbrecht, Janine</cp:lastModifiedBy>
  <cp:revision>2</cp:revision>
  <cp:lastPrinted>2025-03-13T09:52:00Z</cp:lastPrinted>
  <dcterms:created xsi:type="dcterms:W3CDTF">2025-03-18T12:07:00Z</dcterms:created>
  <dcterms:modified xsi:type="dcterms:W3CDTF">2025-03-18T12:07:00Z</dcterms:modified>
</cp:coreProperties>
</file>