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26" w:rsidRDefault="00936BBF">
      <w:pPr>
        <w:pStyle w:val="Textkrp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Bekanntgabe </w:t>
      </w:r>
      <w:r w:rsidR="00224102">
        <w:rPr>
          <w:b w:val="0"/>
          <w:sz w:val="22"/>
          <w:szCs w:val="22"/>
        </w:rPr>
        <w:t>nach</w:t>
      </w:r>
      <w:r w:rsidR="00A92ADC" w:rsidRPr="00817531">
        <w:rPr>
          <w:b w:val="0"/>
          <w:sz w:val="22"/>
          <w:szCs w:val="22"/>
        </w:rPr>
        <w:t xml:space="preserve"> § </w:t>
      </w:r>
      <w:r>
        <w:rPr>
          <w:b w:val="0"/>
          <w:sz w:val="22"/>
          <w:szCs w:val="22"/>
        </w:rPr>
        <w:t xml:space="preserve">5 </w:t>
      </w:r>
      <w:r w:rsidR="00D26FAE">
        <w:rPr>
          <w:b w:val="0"/>
          <w:sz w:val="22"/>
          <w:szCs w:val="22"/>
        </w:rPr>
        <w:t xml:space="preserve">Absatz 2 Satz 1 </w:t>
      </w:r>
      <w:r w:rsidR="00A92ADC" w:rsidRPr="00817531">
        <w:rPr>
          <w:b w:val="0"/>
          <w:sz w:val="22"/>
          <w:szCs w:val="22"/>
        </w:rPr>
        <w:t xml:space="preserve">des Gesetzes über die </w:t>
      </w:r>
    </w:p>
    <w:p w:rsidR="00A92ADC" w:rsidRPr="00817531" w:rsidRDefault="00A92ADC">
      <w:pPr>
        <w:pStyle w:val="Textkrper"/>
        <w:rPr>
          <w:b w:val="0"/>
          <w:sz w:val="22"/>
          <w:szCs w:val="22"/>
        </w:rPr>
      </w:pPr>
      <w:r w:rsidRPr="00817531">
        <w:rPr>
          <w:b w:val="0"/>
          <w:sz w:val="22"/>
          <w:szCs w:val="22"/>
        </w:rPr>
        <w:t xml:space="preserve">Umweltverträglichkeitsprüfung (UVPG) </w:t>
      </w:r>
    </w:p>
    <w:p w:rsidR="00672023" w:rsidRDefault="00672023">
      <w:pPr>
        <w:rPr>
          <w:sz w:val="24"/>
        </w:rPr>
      </w:pPr>
    </w:p>
    <w:p w:rsidR="00FC1184" w:rsidRDefault="00817531" w:rsidP="00FC1184">
      <w:r w:rsidRPr="00FC1184">
        <w:t xml:space="preserve">Die </w:t>
      </w:r>
      <w:r w:rsidR="00D26FAE">
        <w:t xml:space="preserve">Störtebeker Braumanufaktur GmbH mit Sitz in 18439 Stralsund, Greifswalder Chaussee 84 - 85 beabsichtigt, die von ihr mit einer Kapazität von 250.000 hl Bier/a betriebene Brauerei am Standort Stralsund, Gemarkung Stralsund, Flur 40, </w:t>
      </w:r>
      <w:r w:rsidR="00060A6F">
        <w:t xml:space="preserve">Flurstücke </w:t>
      </w:r>
      <w:r w:rsidR="00060A6F" w:rsidRPr="005D6580">
        <w:rPr>
          <w:bCs/>
          <w:szCs w:val="22"/>
        </w:rPr>
        <w:t>7/2, 12/3, 14/1, 14/6, 15/3-7, 16/1, 19 und 20/3</w:t>
      </w:r>
      <w:r w:rsidR="00060A6F">
        <w:rPr>
          <w:bCs/>
          <w:szCs w:val="22"/>
        </w:rPr>
        <w:t xml:space="preserve"> </w:t>
      </w:r>
      <w:r w:rsidR="00D26FAE">
        <w:t>wesentlich zu ändern und hat hierfür die immissionsschu</w:t>
      </w:r>
      <w:r w:rsidR="004011CE">
        <w:t>tzrechtliche Genehmigung nach § </w:t>
      </w:r>
      <w:r w:rsidR="00D26FAE">
        <w:t>16 Bundes-Immissionsschutzgesetz (BImSchG) beantragt.</w:t>
      </w:r>
    </w:p>
    <w:p w:rsidR="00D26FAE" w:rsidRDefault="00D26FAE" w:rsidP="00FC1184"/>
    <w:p w:rsidR="004011CE" w:rsidRDefault="00D26FAE" w:rsidP="004011CE">
      <w:r w:rsidRPr="00060A6F">
        <w:t>Gegenstand de</w:t>
      </w:r>
      <w:r w:rsidR="003C483E" w:rsidRPr="00060A6F">
        <w:t>r</w:t>
      </w:r>
      <w:r w:rsidRPr="00060A6F">
        <w:t xml:space="preserve"> wesentlichen Änderung ist die </w:t>
      </w:r>
      <w:r w:rsidR="004011CE" w:rsidRPr="00060A6F">
        <w:t>Kapazitätserhöhung der Anlage auf einen Bierausstoß von 2.872 h</w:t>
      </w:r>
      <w:r w:rsidR="001650F3" w:rsidRPr="00060A6F">
        <w:t>l/ d</w:t>
      </w:r>
      <w:r w:rsidR="00060A6F" w:rsidRPr="00060A6F">
        <w:t>, damit verbunden ist</w:t>
      </w:r>
      <w:r w:rsidR="001650F3" w:rsidRPr="00060A6F">
        <w:t xml:space="preserve"> </w:t>
      </w:r>
      <w:r w:rsidR="00060A6F" w:rsidRPr="00060A6F">
        <w:t xml:space="preserve">u.a. </w:t>
      </w:r>
      <w:r w:rsidR="001650F3" w:rsidRPr="00060A6F">
        <w:t xml:space="preserve">die Errichtung eines </w:t>
      </w:r>
      <w:r w:rsidR="004011CE" w:rsidRPr="00060A6F">
        <w:t>Sudhaus</w:t>
      </w:r>
      <w:r w:rsidR="001650F3" w:rsidRPr="00060A6F">
        <w:t>es</w:t>
      </w:r>
      <w:r w:rsidR="004011CE" w:rsidRPr="00060A6F">
        <w:t xml:space="preserve">, </w:t>
      </w:r>
      <w:r w:rsidR="008C440F">
        <w:t xml:space="preserve">von </w:t>
      </w:r>
      <w:r w:rsidR="004011CE" w:rsidRPr="00060A6F">
        <w:t xml:space="preserve">Gär- und Lagertanks, einer neuen Heizzentrale und </w:t>
      </w:r>
      <w:r w:rsidR="00060A6F" w:rsidRPr="00060A6F">
        <w:t>weiteren der Anlage dienenden</w:t>
      </w:r>
      <w:r w:rsidR="004011CE" w:rsidRPr="00060A6F">
        <w:t xml:space="preserve"> Nebeneinrichtungen.</w:t>
      </w:r>
    </w:p>
    <w:p w:rsidR="00A92ADC" w:rsidRDefault="00A92ADC"/>
    <w:p w:rsidR="00D26FAE" w:rsidRPr="00382C2C" w:rsidRDefault="00D26FAE">
      <w:pPr>
        <w:rPr>
          <w:rFonts w:cs="Arial"/>
          <w:szCs w:val="22"/>
        </w:rPr>
      </w:pPr>
    </w:p>
    <w:p w:rsidR="001B00C8" w:rsidRDefault="004541F9" w:rsidP="00D136EF">
      <w:pPr>
        <w:rPr>
          <w:color w:val="000000"/>
          <w:szCs w:val="22"/>
        </w:rPr>
      </w:pPr>
      <w:r w:rsidRPr="00D136EF">
        <w:rPr>
          <w:szCs w:val="22"/>
        </w:rPr>
        <w:t>Das Staatliche Amt für Landwirtschaft und Umwelt Vorpommern</w:t>
      </w:r>
      <w:r w:rsidR="00D26FAE" w:rsidRPr="00D136EF">
        <w:rPr>
          <w:szCs w:val="22"/>
        </w:rPr>
        <w:t xml:space="preserve"> </w:t>
      </w:r>
      <w:r w:rsidRPr="00D136EF">
        <w:rPr>
          <w:szCs w:val="22"/>
        </w:rPr>
        <w:t xml:space="preserve">als Genehmigungsbehörde </w:t>
      </w:r>
      <w:r w:rsidR="00D136EF" w:rsidRPr="00D136EF">
        <w:rPr>
          <w:szCs w:val="22"/>
        </w:rPr>
        <w:t xml:space="preserve">hat </w:t>
      </w:r>
      <w:r w:rsidRPr="00D136EF">
        <w:rPr>
          <w:szCs w:val="22"/>
        </w:rPr>
        <w:t>eine standortbezogene</w:t>
      </w:r>
      <w:r w:rsidRPr="00D136EF">
        <w:rPr>
          <w:color w:val="FF0000"/>
          <w:szCs w:val="22"/>
        </w:rPr>
        <w:t xml:space="preserve"> </w:t>
      </w:r>
      <w:r w:rsidRPr="00D136EF">
        <w:rPr>
          <w:szCs w:val="22"/>
        </w:rPr>
        <w:t xml:space="preserve">Vorprüfung gemäß </w:t>
      </w:r>
      <w:r w:rsidR="00D136EF">
        <w:rPr>
          <w:szCs w:val="22"/>
        </w:rPr>
        <w:t xml:space="preserve">dem </w:t>
      </w:r>
      <w:r w:rsidRPr="00D136EF">
        <w:rPr>
          <w:szCs w:val="22"/>
        </w:rPr>
        <w:t xml:space="preserve">§ </w:t>
      </w:r>
      <w:r w:rsidR="00D136EF" w:rsidRPr="00D136EF">
        <w:rPr>
          <w:szCs w:val="22"/>
        </w:rPr>
        <w:t>9</w:t>
      </w:r>
      <w:r w:rsidRPr="00D136EF">
        <w:rPr>
          <w:szCs w:val="22"/>
        </w:rPr>
        <w:t xml:space="preserve"> </w:t>
      </w:r>
      <w:r w:rsidR="00D136EF" w:rsidRPr="00D136EF">
        <w:rPr>
          <w:szCs w:val="22"/>
        </w:rPr>
        <w:t xml:space="preserve">Absatz 2 </w:t>
      </w:r>
      <w:r w:rsidRPr="00D136EF">
        <w:rPr>
          <w:szCs w:val="22"/>
        </w:rPr>
        <w:t xml:space="preserve">Satz </w:t>
      </w:r>
      <w:r w:rsidR="00D136EF" w:rsidRPr="00D136EF">
        <w:rPr>
          <w:szCs w:val="22"/>
        </w:rPr>
        <w:t>1 Nummer 2</w:t>
      </w:r>
      <w:r w:rsidRPr="00D136EF">
        <w:rPr>
          <w:color w:val="000000"/>
          <w:szCs w:val="22"/>
        </w:rPr>
        <w:t xml:space="preserve"> in </w:t>
      </w:r>
    </w:p>
    <w:p w:rsidR="00D136EF" w:rsidRPr="00D136EF" w:rsidRDefault="004541F9" w:rsidP="00D136EF">
      <w:pPr>
        <w:rPr>
          <w:szCs w:val="22"/>
        </w:rPr>
      </w:pPr>
      <w:r w:rsidRPr="00D136EF">
        <w:rPr>
          <w:color w:val="000000"/>
          <w:szCs w:val="22"/>
        </w:rPr>
        <w:t xml:space="preserve">Verbindung mit Nummer 7.26.3 der Anlage 1 </w:t>
      </w:r>
      <w:r w:rsidR="00D136EF" w:rsidRPr="00D136EF">
        <w:rPr>
          <w:szCs w:val="22"/>
        </w:rPr>
        <w:t xml:space="preserve">des Gesetzes über die </w:t>
      </w:r>
    </w:p>
    <w:p w:rsidR="004541F9" w:rsidRPr="00D136EF" w:rsidRDefault="00D136EF" w:rsidP="00D136EF">
      <w:pPr>
        <w:rPr>
          <w:szCs w:val="22"/>
        </w:rPr>
      </w:pPr>
      <w:r w:rsidRPr="00D136EF">
        <w:rPr>
          <w:szCs w:val="22"/>
        </w:rPr>
        <w:t xml:space="preserve">Umweltverträglichkeitsprüfung (UVPG) </w:t>
      </w:r>
      <w:r w:rsidR="004541F9">
        <w:rPr>
          <w:color w:val="000000"/>
          <w:szCs w:val="22"/>
        </w:rPr>
        <w:t>durch</w:t>
      </w:r>
      <w:r>
        <w:rPr>
          <w:color w:val="000000"/>
          <w:szCs w:val="22"/>
        </w:rPr>
        <w:t>geführt</w:t>
      </w:r>
      <w:r w:rsidR="004541F9">
        <w:rPr>
          <w:color w:val="000000"/>
          <w:szCs w:val="22"/>
        </w:rPr>
        <w:t>.</w:t>
      </w:r>
    </w:p>
    <w:p w:rsidR="00672023" w:rsidRPr="00382C2C" w:rsidRDefault="00672023">
      <w:pPr>
        <w:rPr>
          <w:rFonts w:cs="Arial"/>
          <w:szCs w:val="22"/>
        </w:rPr>
      </w:pPr>
    </w:p>
    <w:p w:rsidR="00FC1184" w:rsidRDefault="00A92ADC">
      <w:pPr>
        <w:rPr>
          <w:rFonts w:cs="Arial"/>
          <w:szCs w:val="22"/>
        </w:rPr>
      </w:pPr>
      <w:r w:rsidRPr="00382C2C">
        <w:rPr>
          <w:rFonts w:cs="Arial"/>
          <w:szCs w:val="22"/>
        </w:rPr>
        <w:t>Die Prüfung hat zu dem Ergebnis geführt, dass von dem Vorhaben keine erheblich</w:t>
      </w:r>
      <w:r w:rsidR="009A39D2">
        <w:rPr>
          <w:rFonts w:cs="Arial"/>
          <w:szCs w:val="22"/>
        </w:rPr>
        <w:t>en</w:t>
      </w:r>
    </w:p>
    <w:p w:rsidR="00A92ADC" w:rsidRDefault="00A92ADC">
      <w:pPr>
        <w:rPr>
          <w:rFonts w:cs="Arial"/>
          <w:szCs w:val="22"/>
        </w:rPr>
      </w:pPr>
      <w:r w:rsidRPr="00382C2C">
        <w:rPr>
          <w:rFonts w:cs="Arial"/>
          <w:szCs w:val="22"/>
        </w:rPr>
        <w:t>nachteiligen Umweltauswirkungen zu erwarten sind. Eine Umweltverträglichkeitsprüfung ist daher nicht erforderlich.</w:t>
      </w:r>
    </w:p>
    <w:p w:rsidR="00D136EF" w:rsidRDefault="00D136EF">
      <w:pPr>
        <w:rPr>
          <w:rFonts w:cs="Arial"/>
          <w:szCs w:val="22"/>
        </w:rPr>
      </w:pPr>
    </w:p>
    <w:p w:rsidR="0039197C" w:rsidRDefault="00D136EF" w:rsidP="0022255E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Wesentliche Gründe für das Nichtbestehen der UVP-Pflicht nach § 5 Absatz 2 Satz 2 </w:t>
      </w:r>
      <w:r w:rsidR="0039197C">
        <w:rPr>
          <w:rFonts w:cs="Arial"/>
          <w:szCs w:val="22"/>
        </w:rPr>
        <w:t xml:space="preserve">und 3 UVPG ergeben sich aus der </w:t>
      </w:r>
      <w:r>
        <w:rPr>
          <w:rFonts w:cs="Arial"/>
          <w:szCs w:val="22"/>
        </w:rPr>
        <w:t xml:space="preserve">überschlägigen Prüfung </w:t>
      </w:r>
      <w:r w:rsidR="0039197C">
        <w:rPr>
          <w:rFonts w:cs="Arial"/>
          <w:szCs w:val="22"/>
        </w:rPr>
        <w:t>gemäß den in Anlage 3 Nummer 2.3</w:t>
      </w:r>
      <w:r>
        <w:rPr>
          <w:rFonts w:cs="Arial"/>
          <w:szCs w:val="22"/>
        </w:rPr>
        <w:t xml:space="preserve"> aufgeführten Schutzkriterien. Maßgebend für die Einschätzung</w:t>
      </w:r>
      <w:r w:rsidR="0022255E">
        <w:rPr>
          <w:rFonts w:cs="Arial"/>
          <w:szCs w:val="22"/>
        </w:rPr>
        <w:t xml:space="preserve"> war der Standort des </w:t>
      </w:r>
    </w:p>
    <w:p w:rsidR="00D136EF" w:rsidRPr="0022255E" w:rsidRDefault="0022255E" w:rsidP="0022255E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Vorhabens </w:t>
      </w:r>
      <w:r w:rsidRPr="0022255E">
        <w:rPr>
          <w:rFonts w:cs="Arial"/>
          <w:szCs w:val="22"/>
        </w:rPr>
        <w:t xml:space="preserve">hinsichtlich </w:t>
      </w:r>
      <w:r>
        <w:rPr>
          <w:rFonts w:cs="Arial"/>
          <w:szCs w:val="22"/>
        </w:rPr>
        <w:t xml:space="preserve">der </w:t>
      </w:r>
      <w:r w:rsidRPr="0022255E">
        <w:rPr>
          <w:rFonts w:cs="Arial"/>
          <w:szCs w:val="22"/>
        </w:rPr>
        <w:t>Nutzungs- und Schutzkriterien unter Berü</w:t>
      </w:r>
      <w:r>
        <w:rPr>
          <w:rFonts w:cs="Arial"/>
          <w:szCs w:val="22"/>
        </w:rPr>
        <w:t>cksichtigung des Zusammenwirkens</w:t>
      </w:r>
      <w:r w:rsidRPr="0022255E">
        <w:rPr>
          <w:rFonts w:cs="Arial"/>
          <w:szCs w:val="22"/>
        </w:rPr>
        <w:t xml:space="preserve"> mit anderen Vorhaben in</w:t>
      </w:r>
      <w:r w:rsidR="001B00C8">
        <w:rPr>
          <w:rFonts w:cs="Arial"/>
          <w:szCs w:val="22"/>
        </w:rPr>
        <w:t xml:space="preserve"> </w:t>
      </w:r>
      <w:r w:rsidRPr="0022255E">
        <w:rPr>
          <w:rFonts w:cs="Arial"/>
          <w:szCs w:val="22"/>
        </w:rPr>
        <w:t>ihrem gemeinsamen Einwirkungsbereich</w:t>
      </w:r>
      <w:r>
        <w:rPr>
          <w:rFonts w:cs="Arial"/>
          <w:szCs w:val="22"/>
        </w:rPr>
        <w:t>.</w:t>
      </w:r>
    </w:p>
    <w:p w:rsidR="00D136EF" w:rsidRDefault="00D136EF">
      <w:pPr>
        <w:rPr>
          <w:rFonts w:cs="Arial"/>
          <w:szCs w:val="22"/>
        </w:rPr>
      </w:pPr>
    </w:p>
    <w:p w:rsidR="003C483E" w:rsidRDefault="00D136EF">
      <w:pPr>
        <w:rPr>
          <w:rFonts w:cs="Arial"/>
          <w:szCs w:val="22"/>
        </w:rPr>
      </w:pPr>
      <w:r>
        <w:rPr>
          <w:rFonts w:cs="Arial"/>
          <w:szCs w:val="22"/>
        </w:rPr>
        <w:t xml:space="preserve">Das </w:t>
      </w:r>
      <w:r w:rsidRPr="00FC03C8">
        <w:rPr>
          <w:rFonts w:cs="Arial"/>
          <w:szCs w:val="22"/>
        </w:rPr>
        <w:t xml:space="preserve">Vorhaben soll </w:t>
      </w:r>
      <w:r w:rsidR="00FC03C8" w:rsidRPr="00FC03C8">
        <w:rPr>
          <w:rFonts w:cs="Arial"/>
          <w:szCs w:val="22"/>
        </w:rPr>
        <w:t>auf dem bereits mit der Brauerei</w:t>
      </w:r>
      <w:r w:rsidRPr="00FC03C8">
        <w:rPr>
          <w:rFonts w:cs="Arial"/>
          <w:szCs w:val="22"/>
        </w:rPr>
        <w:t xml:space="preserve"> </w:t>
      </w:r>
      <w:r w:rsidR="006D4407" w:rsidRPr="00FC03C8">
        <w:rPr>
          <w:rFonts w:cs="Arial"/>
          <w:szCs w:val="22"/>
        </w:rPr>
        <w:t>der Störtebeker Braumanufaktur</w:t>
      </w:r>
      <w:r w:rsidR="0006436B" w:rsidRPr="00FC03C8">
        <w:rPr>
          <w:rFonts w:cs="Arial"/>
          <w:szCs w:val="22"/>
        </w:rPr>
        <w:t xml:space="preserve"> GmbH</w:t>
      </w:r>
      <w:r w:rsidR="006D4407" w:rsidRPr="00FC03C8">
        <w:rPr>
          <w:rFonts w:cs="Arial"/>
          <w:szCs w:val="22"/>
        </w:rPr>
        <w:t xml:space="preserve">, Greifswalder Chaussee 84-85 </w:t>
      </w:r>
      <w:r w:rsidR="00FC03C8" w:rsidRPr="00FC03C8">
        <w:rPr>
          <w:rFonts w:cs="Arial"/>
          <w:szCs w:val="22"/>
        </w:rPr>
        <w:t>bebauten</w:t>
      </w:r>
      <w:r w:rsidR="00FC03C8">
        <w:rPr>
          <w:rFonts w:cs="Arial"/>
          <w:szCs w:val="22"/>
        </w:rPr>
        <w:t xml:space="preserve"> </w:t>
      </w:r>
      <w:r w:rsidR="006D4407">
        <w:rPr>
          <w:rFonts w:cs="Arial"/>
          <w:szCs w:val="22"/>
        </w:rPr>
        <w:t xml:space="preserve">Gebiet realisiert werden. </w:t>
      </w:r>
      <w:r w:rsidR="008E34CE">
        <w:rPr>
          <w:rFonts w:cs="Arial"/>
          <w:szCs w:val="22"/>
        </w:rPr>
        <w:t xml:space="preserve">Hierbei handelt es sich um </w:t>
      </w:r>
    </w:p>
    <w:p w:rsidR="00C5089E" w:rsidRDefault="008E34CE">
      <w:pPr>
        <w:rPr>
          <w:rFonts w:cs="Arial"/>
          <w:szCs w:val="22"/>
        </w:rPr>
      </w:pPr>
      <w:r>
        <w:rPr>
          <w:rFonts w:cs="Arial"/>
          <w:szCs w:val="22"/>
        </w:rPr>
        <w:t>anthropogen überprägte und beeinflusste Bereiche. Durch das Vorhaben sind keine weiteren entgegenstehenden Nutzungen in erheblich nachteiligem Ausmaß betroffen.</w:t>
      </w:r>
      <w:r w:rsidR="00FC03C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Nationale und internationale Schutzgebiete nach dem BNatSchG und dem WHG sind nicht berührt. </w:t>
      </w:r>
    </w:p>
    <w:p w:rsidR="00C5089E" w:rsidRDefault="008E34CE">
      <w:pPr>
        <w:rPr>
          <w:rFonts w:cs="Arial"/>
          <w:szCs w:val="22"/>
        </w:rPr>
      </w:pPr>
      <w:r>
        <w:rPr>
          <w:rFonts w:cs="Arial"/>
          <w:szCs w:val="22"/>
        </w:rPr>
        <w:t>Baudenkmale sind im Vorhabenbereich nicht vorhanden</w:t>
      </w:r>
      <w:r w:rsidR="0019061D">
        <w:rPr>
          <w:rFonts w:cs="Arial"/>
          <w:szCs w:val="22"/>
        </w:rPr>
        <w:t xml:space="preserve">; </w:t>
      </w:r>
      <w:r w:rsidR="0006436B">
        <w:rPr>
          <w:rFonts w:cs="Arial"/>
          <w:szCs w:val="22"/>
        </w:rPr>
        <w:t>Boden</w:t>
      </w:r>
      <w:r w:rsidR="0019061D">
        <w:rPr>
          <w:rFonts w:cs="Arial"/>
          <w:szCs w:val="22"/>
        </w:rPr>
        <w:t>denkmale nicht bekannt.</w:t>
      </w:r>
    </w:p>
    <w:p w:rsidR="00C5089E" w:rsidRDefault="008E34CE">
      <w:pPr>
        <w:rPr>
          <w:rFonts w:cs="Arial"/>
          <w:szCs w:val="22"/>
        </w:rPr>
      </w:pPr>
      <w:r>
        <w:rPr>
          <w:rFonts w:cs="Arial"/>
          <w:szCs w:val="22"/>
        </w:rPr>
        <w:t xml:space="preserve">Erhebliche und nachteilige Umweltauswirkungen aus dem Vorhaben auf den </w:t>
      </w:r>
    </w:p>
    <w:p w:rsidR="00C5089E" w:rsidRDefault="008E34CE">
      <w:pPr>
        <w:rPr>
          <w:rFonts w:cs="Arial"/>
          <w:szCs w:val="22"/>
        </w:rPr>
      </w:pPr>
      <w:r>
        <w:rPr>
          <w:rFonts w:cs="Arial"/>
          <w:szCs w:val="22"/>
        </w:rPr>
        <w:t>Denkmalbereich „Altstadt Stralsund“ und das UNESCO-Weltkulturerbe sowie die Erlebbarkeit desse</w:t>
      </w:r>
      <w:r w:rsidR="0019061D">
        <w:rPr>
          <w:rFonts w:cs="Arial"/>
          <w:szCs w:val="22"/>
        </w:rPr>
        <w:t xml:space="preserve">n sind nicht zu prognostizieren. Die Auswirkungen durch das Vorhaben sind lokal begrenzt und im urban überprägten Raum eingeordnet. Stralsund ist als </w:t>
      </w:r>
    </w:p>
    <w:p w:rsidR="00156E92" w:rsidRDefault="0019061D">
      <w:pPr>
        <w:rPr>
          <w:rFonts w:cs="Arial"/>
          <w:szCs w:val="22"/>
        </w:rPr>
      </w:pPr>
      <w:r>
        <w:rPr>
          <w:rFonts w:cs="Arial"/>
          <w:szCs w:val="22"/>
        </w:rPr>
        <w:t>Oberzentrum der Planungsregion Vorpommern</w:t>
      </w:r>
      <w:r w:rsidR="003C483E">
        <w:rPr>
          <w:rFonts w:cs="Arial"/>
          <w:szCs w:val="22"/>
        </w:rPr>
        <w:t xml:space="preserve"> im Regionalen Raumentwicklungsprogramm Vorpommern (RREP VP) ausgewiesen. Das Vorhaben erfolgt im Rahmen der </w:t>
      </w:r>
    </w:p>
    <w:p w:rsidR="00D136EF" w:rsidRDefault="003C483E">
      <w:pPr>
        <w:rPr>
          <w:rFonts w:cs="Arial"/>
          <w:szCs w:val="22"/>
        </w:rPr>
      </w:pPr>
      <w:r>
        <w:rPr>
          <w:rFonts w:cs="Arial"/>
          <w:szCs w:val="22"/>
        </w:rPr>
        <w:t xml:space="preserve">wirtschaftlichen Entwicklung des Standortes. </w:t>
      </w:r>
      <w:r w:rsidR="004011CE">
        <w:rPr>
          <w:szCs w:val="22"/>
        </w:rPr>
        <w:t xml:space="preserve">Die mit den Antragsunterlagen vorgelegten </w:t>
      </w:r>
      <w:r w:rsidR="004011CE" w:rsidRPr="00B8359D">
        <w:rPr>
          <w:szCs w:val="22"/>
        </w:rPr>
        <w:t xml:space="preserve">Gutachten </w:t>
      </w:r>
      <w:r w:rsidR="004011CE">
        <w:rPr>
          <w:szCs w:val="22"/>
        </w:rPr>
        <w:t>zeigen, dass auch nach Umsetzung des beantragten Vorhabens</w:t>
      </w:r>
      <w:r w:rsidR="004011CE" w:rsidRPr="00B8359D">
        <w:rPr>
          <w:szCs w:val="22"/>
        </w:rPr>
        <w:t xml:space="preserve"> die Immissionsrichtwerte der TA-Lärm, die Immissionswerte der GIRL für Geruch und die Grenzwerte für Luftschadstoffe gemäß TA-Luft eingehalten</w:t>
      </w:r>
      <w:r w:rsidR="004011CE">
        <w:rPr>
          <w:szCs w:val="22"/>
        </w:rPr>
        <w:t xml:space="preserve"> werden</w:t>
      </w:r>
      <w:r w:rsidR="004011CE" w:rsidRPr="00B8359D">
        <w:rPr>
          <w:szCs w:val="22"/>
        </w:rPr>
        <w:t xml:space="preserve">. </w:t>
      </w:r>
      <w:r w:rsidR="004011CE">
        <w:rPr>
          <w:szCs w:val="22"/>
        </w:rPr>
        <w:t xml:space="preserve">Das geplante Vorhaben ist daher nicht geeignet, erhebliche nachteilige Umweltauswirkungen zu verursachen. </w:t>
      </w:r>
      <w:r>
        <w:rPr>
          <w:rFonts w:cs="Arial"/>
          <w:szCs w:val="22"/>
        </w:rPr>
        <w:t>Durch die Festlegung von Schutz-, Vermeidungs- und Minderungsmaßnahmen in der technischen Vorhabenbeschreibung sowie der Einhaltung von</w:t>
      </w:r>
      <w:r w:rsidR="00C5089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Immissionsrichtwerten und rechtliche</w:t>
      </w:r>
      <w:r w:rsidR="0039197C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 Sicherheitsvorschriften sind für den Bau und den Betrieb keinen erheblichen nachteiligen Umweltauswirkungen prognostiziert.</w:t>
      </w:r>
    </w:p>
    <w:p w:rsidR="00A92ADC" w:rsidRPr="00382C2C" w:rsidRDefault="00A92ADC">
      <w:pPr>
        <w:rPr>
          <w:rFonts w:cs="Arial"/>
          <w:szCs w:val="22"/>
        </w:rPr>
      </w:pPr>
    </w:p>
    <w:p w:rsidR="00A92ADC" w:rsidRPr="00382C2C" w:rsidRDefault="00A92ADC">
      <w:pPr>
        <w:rPr>
          <w:rFonts w:cs="Arial"/>
          <w:szCs w:val="22"/>
        </w:rPr>
      </w:pPr>
      <w:r w:rsidRPr="00382C2C">
        <w:rPr>
          <w:rFonts w:cs="Arial"/>
          <w:szCs w:val="22"/>
        </w:rPr>
        <w:t xml:space="preserve">Diese Feststellung ist gemäß § </w:t>
      </w:r>
      <w:r w:rsidR="003C483E">
        <w:rPr>
          <w:rFonts w:cs="Arial"/>
          <w:szCs w:val="22"/>
        </w:rPr>
        <w:t>5 Absatz 3 Satz 1 des</w:t>
      </w:r>
      <w:r w:rsidRPr="00382C2C">
        <w:rPr>
          <w:rFonts w:cs="Arial"/>
          <w:szCs w:val="22"/>
        </w:rPr>
        <w:t xml:space="preserve"> UVPG nicht selb</w:t>
      </w:r>
      <w:r w:rsidR="00CB42F2">
        <w:rPr>
          <w:rFonts w:cs="Arial"/>
          <w:szCs w:val="22"/>
        </w:rPr>
        <w:t>st</w:t>
      </w:r>
      <w:r w:rsidR="00A96362">
        <w:rPr>
          <w:rFonts w:cs="Arial"/>
          <w:szCs w:val="22"/>
        </w:rPr>
        <w:t>ständig anfechtbar.</w:t>
      </w:r>
    </w:p>
    <w:p w:rsidR="00CB0310" w:rsidRDefault="00CB0310">
      <w:pPr>
        <w:rPr>
          <w:rFonts w:cs="Arial"/>
          <w:szCs w:val="22"/>
        </w:rPr>
      </w:pPr>
    </w:p>
    <w:p w:rsidR="00A92ADC" w:rsidRPr="00F41B92" w:rsidRDefault="00A92ADC">
      <w:pPr>
        <w:rPr>
          <w:rFonts w:cs="Arial"/>
          <w:szCs w:val="22"/>
        </w:rPr>
      </w:pPr>
      <w:bookmarkStart w:id="0" w:name="_GoBack"/>
      <w:bookmarkEnd w:id="0"/>
      <w:r w:rsidRPr="00382C2C">
        <w:rPr>
          <w:rFonts w:cs="Arial"/>
          <w:szCs w:val="22"/>
        </w:rPr>
        <w:t>Die zuständige Genehmigungsbehörde wird über den Antrag nach den Vorschriften des Bundes-Immissionsschutzgesetzes (BImSchG) entscheiden.</w:t>
      </w:r>
    </w:p>
    <w:sectPr w:rsidR="00A92ADC" w:rsidRPr="00F41B92" w:rsidSect="00CB031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23"/>
    <w:rsid w:val="00060A6F"/>
    <w:rsid w:val="0006436B"/>
    <w:rsid w:val="000B07C5"/>
    <w:rsid w:val="00156E92"/>
    <w:rsid w:val="001650F3"/>
    <w:rsid w:val="0019061D"/>
    <w:rsid w:val="001A0F75"/>
    <w:rsid w:val="001B00C8"/>
    <w:rsid w:val="0022255E"/>
    <w:rsid w:val="00224102"/>
    <w:rsid w:val="00343816"/>
    <w:rsid w:val="0034504F"/>
    <w:rsid w:val="00382C2C"/>
    <w:rsid w:val="0039197C"/>
    <w:rsid w:val="003C483E"/>
    <w:rsid w:val="003D312D"/>
    <w:rsid w:val="004011CE"/>
    <w:rsid w:val="00453E7B"/>
    <w:rsid w:val="004541F9"/>
    <w:rsid w:val="00494CEC"/>
    <w:rsid w:val="004D6D78"/>
    <w:rsid w:val="00510A5E"/>
    <w:rsid w:val="00524A28"/>
    <w:rsid w:val="00540F15"/>
    <w:rsid w:val="00612819"/>
    <w:rsid w:val="006536C1"/>
    <w:rsid w:val="00672023"/>
    <w:rsid w:val="006D4407"/>
    <w:rsid w:val="00817531"/>
    <w:rsid w:val="00886FD6"/>
    <w:rsid w:val="008973DC"/>
    <w:rsid w:val="008C440F"/>
    <w:rsid w:val="008E34CE"/>
    <w:rsid w:val="00904426"/>
    <w:rsid w:val="00936BBF"/>
    <w:rsid w:val="009A2FA3"/>
    <w:rsid w:val="009A39D2"/>
    <w:rsid w:val="009E4CCB"/>
    <w:rsid w:val="00A32FC0"/>
    <w:rsid w:val="00A5223D"/>
    <w:rsid w:val="00A8323E"/>
    <w:rsid w:val="00A92ADC"/>
    <w:rsid w:val="00A96362"/>
    <w:rsid w:val="00AA640C"/>
    <w:rsid w:val="00AB7134"/>
    <w:rsid w:val="00BA0CE1"/>
    <w:rsid w:val="00BC1A15"/>
    <w:rsid w:val="00C5089E"/>
    <w:rsid w:val="00C84145"/>
    <w:rsid w:val="00CB0310"/>
    <w:rsid w:val="00CB42F2"/>
    <w:rsid w:val="00CE37F2"/>
    <w:rsid w:val="00D136EF"/>
    <w:rsid w:val="00D155DD"/>
    <w:rsid w:val="00D26FAE"/>
    <w:rsid w:val="00DB2547"/>
    <w:rsid w:val="00E03B87"/>
    <w:rsid w:val="00EE6724"/>
    <w:rsid w:val="00F41B92"/>
    <w:rsid w:val="00FC03C8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5A7FC"/>
  <w15:chartTrackingRefBased/>
  <w15:docId w15:val="{3DDDF850-56C2-4A30-A17A-C348C07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cs="Arial"/>
      <w:b/>
      <w:bCs/>
      <w:sz w:val="24"/>
    </w:rPr>
  </w:style>
  <w:style w:type="paragraph" w:styleId="StandardWeb">
    <w:name w:val="Normal (Web)"/>
    <w:basedOn w:val="Standard"/>
    <w:rsid w:val="0081753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rsid w:val="003C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70B6-2ACE-4FCE-9FB6-85103F5B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91164C0F.dotm</Template>
  <TotalTime>0</TotalTime>
  <Pages>1</Pages>
  <Words>462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gemäß § 3 a Satz 2 des Gesetzes über die Umweltverträg-lichkeitsprüfung (UVPG)</vt:lpstr>
    </vt:vector>
  </TitlesOfParts>
  <Company>Umweltministerium M-V</Company>
  <LinksUpToDate>false</LinksUpToDate>
  <CharactersWithSpaces>3625</CharactersWithSpaces>
  <SharedDoc>false</SharedDoc>
  <HLinks>
    <vt:vector size="6" baseType="variant"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http://www.stalu-vorpommern.de/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gemäß § 3 a Satz 2 des Gesetzes über die Umweltverträg-lichkeitsprüfung (UVPG)</dc:title>
  <dc:subject/>
  <dc:creator>umv</dc:creator>
  <cp:keywords/>
  <dc:description/>
  <cp:lastModifiedBy>StALU VP-50a (Frau Gelzenleuchter)</cp:lastModifiedBy>
  <cp:revision>8</cp:revision>
  <cp:lastPrinted>2011-07-28T09:05:00Z</cp:lastPrinted>
  <dcterms:created xsi:type="dcterms:W3CDTF">2020-10-29T15:55:00Z</dcterms:created>
  <dcterms:modified xsi:type="dcterms:W3CDTF">2020-11-04T09:34:00Z</dcterms:modified>
</cp:coreProperties>
</file>