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lang w:eastAsia="de-DE"/>
        </w:rPr>
        <w:t>Bekanntmachung nach § 10 Abs. 3 Bundes-Immissionsschutzgesetz (BImSchG)</w:t>
      </w:r>
    </w:p>
    <w:p>
      <w:pPr>
        <w:spacing w:before="24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Bekanntmachung des Staatlichen Amtes für Landwirtschaft und Umwelt Vorpommern vom 03.02.2025</w:t>
      </w:r>
    </w:p>
    <w:p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Beim Staatlichen Amt für Landwirtschaft und Umwelt Vorpommern als der zuständigen Genehmigungsbehörde stellte mit Antrag vom 12.11.2024, mit Eingang am 19.11.2024, die ADAP Rinderzucht GmbH mit Sitz in 18320 </w:t>
      </w:r>
      <w:proofErr w:type="spellStart"/>
      <w:r>
        <w:rPr>
          <w:rFonts w:ascii="Arial" w:eastAsia="Times New Roman" w:hAnsi="Arial" w:cs="Arial"/>
          <w:lang w:eastAsia="de-DE"/>
        </w:rPr>
        <w:t>Ahrenshagen</w:t>
      </w:r>
      <w:proofErr w:type="spellEnd"/>
      <w:r>
        <w:rPr>
          <w:rFonts w:ascii="Arial" w:eastAsia="Times New Roman" w:hAnsi="Arial" w:cs="Arial"/>
          <w:lang w:eastAsia="de-DE"/>
        </w:rPr>
        <w:t xml:space="preserve">, </w:t>
      </w:r>
      <w:proofErr w:type="spellStart"/>
      <w:r>
        <w:rPr>
          <w:rFonts w:ascii="Arial" w:eastAsia="Times New Roman" w:hAnsi="Arial" w:cs="Arial"/>
          <w:lang w:eastAsia="de-DE"/>
        </w:rPr>
        <w:t>Todenhäger</w:t>
      </w:r>
      <w:proofErr w:type="spellEnd"/>
      <w:r>
        <w:rPr>
          <w:rFonts w:ascii="Arial" w:eastAsia="Times New Roman" w:hAnsi="Arial" w:cs="Arial"/>
          <w:lang w:eastAsia="de-DE"/>
        </w:rPr>
        <w:t xml:space="preserve"> Str. 7 einen Antrag auf Erteilung einer immissionsschutzrechtlichen Genehmigung für die Zusammenlegung von zwei Biogasanlagen gemäß § 16 Bundes-Immissionsschutzgesetz (BImSchG), neugefasst durch Bekanntmachung vom 17. Mai 2013 (BGBl. I S. 1274), in der zurzeit gültigen Fassung.</w:t>
      </w:r>
      <w:r>
        <w:rPr>
          <w:rFonts w:ascii="Arial" w:eastAsia="Times New Roman" w:hAnsi="Arial" w:cs="Arial"/>
          <w:lang w:eastAsia="de-DE"/>
        </w:rPr>
        <w:br/>
        <w:t xml:space="preserve">Der Standort der beantragten Anlage befindet sich auf dem Betriebsgelände im Landkreis Vorpommern-Rügen in der Gemeinde </w:t>
      </w:r>
      <w:proofErr w:type="spellStart"/>
      <w:r>
        <w:rPr>
          <w:rFonts w:ascii="Arial" w:eastAsia="Times New Roman" w:hAnsi="Arial" w:cs="Arial"/>
          <w:lang w:eastAsia="de-DE"/>
        </w:rPr>
        <w:t>Ahrenshagen</w:t>
      </w:r>
      <w:proofErr w:type="spellEnd"/>
      <w:r>
        <w:rPr>
          <w:rFonts w:ascii="Arial" w:eastAsia="Times New Roman" w:hAnsi="Arial" w:cs="Arial"/>
          <w:lang w:eastAsia="de-DE"/>
        </w:rPr>
        <w:t xml:space="preserve">, Gemarkung </w:t>
      </w:r>
      <w:proofErr w:type="spellStart"/>
      <w:r>
        <w:rPr>
          <w:rFonts w:ascii="Arial" w:eastAsia="Times New Roman" w:hAnsi="Arial" w:cs="Arial"/>
          <w:lang w:eastAsia="de-DE"/>
        </w:rPr>
        <w:t>Ahrenshagen</w:t>
      </w:r>
      <w:proofErr w:type="spellEnd"/>
      <w:r>
        <w:rPr>
          <w:rFonts w:ascii="Arial" w:eastAsia="Times New Roman" w:hAnsi="Arial" w:cs="Arial"/>
          <w:lang w:eastAsia="de-DE"/>
        </w:rPr>
        <w:t>, Flur 14, Flurstücke 47/1 und 47/2.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Das Vorhaben ist gemäß § 16 BImSchG in Verbindung mit § 1 sowie Nr. 8.6.3.1GE des Anhangs 1 zur Verordnung über genehmigungsbedürftige Anlagen - 4. BImSchV, neugefasst durch Bekanntmachung vom 31.05.2017 (BGBl. I S. 1440), zuletzt geändert </w:t>
      </w:r>
      <w:r>
        <w:rPr>
          <w:rFonts w:ascii="Arial" w:hAnsi="Arial" w:cs="Arial"/>
        </w:rPr>
        <w:t>durch Artikel 1 der Verordnung vom 12. November 2024 (BGBl. 2024 I Nr. 355)</w:t>
      </w:r>
      <w:r>
        <w:rPr>
          <w:rFonts w:ascii="Arial" w:eastAsia="Times New Roman" w:hAnsi="Arial" w:cs="Arial"/>
          <w:lang w:eastAsia="de-DE"/>
        </w:rPr>
        <w:t>, genehmigungsbedürftig.</w:t>
      </w:r>
    </w:p>
    <w:p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handelt sich zukünftig um eine Anlage zur biologischen Behandlung von Gülle (Biogasanlage) nach Nr. 8.6.3.1 (EG) des Anhangs 1 der 4. BImSchV mit einer Durchsatzleistung &gt; 100 t/d (ca. 131 t/d)) zur Erzeugung einer Rohbiogasmenge von bis zu 4,21 Mill. Nm³ je Jahr. Mit der geplanten Durchsatzleistung befindet sich die Anlage im Anwendungsbereich der Industrieemissions-Richtlinie (IE-RL).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Durch Erhöhung der störfallrelevanten Gasspeichermenge auf 23.392 kg </w:t>
      </w:r>
      <w:r>
        <w:rPr>
          <w:rFonts w:ascii="Arial" w:eastAsia="Times New Roman" w:hAnsi="Arial" w:cs="Arial"/>
          <w:lang w:eastAsia="de-DE"/>
        </w:rPr>
        <w:t>überschreitet die geplante Anlage die Mengenschwellen gem. der Störfall-Verordnung (12. BImSchV) (störfallrelevante Änderung). Dadurch ist die Anlage gem. 12. BImSchV als Betriebsbereich der unteren Klasse einzustufen.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Das Vorhaben unterliegt gemäß Nr. 1.11.2.1</w:t>
      </w:r>
      <w:r>
        <w:rPr>
          <w:rFonts w:eastAsia="Times New Roman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Spalte 2 A der Anlage 1 des Gesetzes über die Umweltverträglichkeitsprüfung (UVPG), neugefasst durch Bekanntmachung vom 18.03.2021 (BGBl. I S. 540), das </w:t>
      </w:r>
      <w:r>
        <w:rPr>
          <w:rFonts w:ascii="Arial" w:hAnsi="Arial" w:cs="Arial"/>
        </w:rPr>
        <w:t>zuletzt durch Artikel 2 des Gesetzes vom 23. Oktober 2024 (BGBl. 2024 I Nr. 323) geändert worden ist,</w:t>
      </w:r>
      <w:r>
        <w:rPr>
          <w:rFonts w:ascii="Arial" w:eastAsia="Times New Roman" w:hAnsi="Arial" w:cs="Arial"/>
          <w:lang w:eastAsia="de-DE"/>
        </w:rPr>
        <w:t xml:space="preserve"> der Pflicht zur Durchführung einer allgemeinen Vorprüfung des Einzelfalls zur Feststellung der UVP-Pflicht. Die Vorprüfung wurde durchgeführt. 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Das Vorhaben wird hiermit gemäß § 10 Abs. 3 BImSchG und §§ 8, 9, 10 der Verordnung über das Genehmigungsverfahren (9. BImSchV), neugefasst durch Bekanntmachung vom 29.05.1992 (BGBl. I S. 1001), in der zurzeit gültigen Fassung, im Amtlichen Anzeiger - Beilage zum Amtsblatt für M-V und auf der Internetseite des StALU Vorpommern öffentlich bekannt gemacht.</w:t>
      </w:r>
    </w:p>
    <w:p>
      <w:pPr>
        <w:shd w:val="clear" w:color="auto" w:fill="FFFFFF"/>
        <w:spacing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>Die nach §§ 4 bis 4e der 9. BImSchV auszulegenden Unterlagen beinhalten insbesondere folgende umweltbezogene Dokumente: </w:t>
      </w:r>
    </w:p>
    <w:tbl>
      <w:tblPr>
        <w:tblStyle w:val="Tabellenraster"/>
        <w:tblW w:w="7083" w:type="dxa"/>
        <w:tblLook w:val="04A0" w:firstRow="1" w:lastRow="0" w:firstColumn="1" w:lastColumn="0" w:noHBand="0" w:noVBand="1"/>
      </w:tblPr>
      <w:tblGrid>
        <w:gridCol w:w="2165"/>
        <w:gridCol w:w="4918"/>
      </w:tblGrid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de-DE"/>
              </w:rPr>
              <w:t>Anlage Nr.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de-DE"/>
              </w:rPr>
              <w:t>Titel</w:t>
            </w:r>
          </w:p>
        </w:tc>
      </w:tr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4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Emissionsbetrachtung</w:t>
            </w:r>
          </w:p>
        </w:tc>
      </w:tr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4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Betrachtung Schallemissionen</w:t>
            </w:r>
          </w:p>
        </w:tc>
      </w:tr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6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Konzept zur Verhinderung von Störfällen</w:t>
            </w:r>
          </w:p>
        </w:tc>
      </w:tr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11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Lagerung wassergefährdender Stoffe</w:t>
            </w:r>
          </w:p>
        </w:tc>
      </w:tr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13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Ausgangszustandsbericht Relevanzprüfung</w:t>
            </w:r>
          </w:p>
        </w:tc>
      </w:tr>
      <w:tr>
        <w:tc>
          <w:tcPr>
            <w:tcW w:w="2165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14</w:t>
            </w:r>
          </w:p>
        </w:tc>
        <w:tc>
          <w:tcPr>
            <w:tcW w:w="4918" w:type="dxa"/>
          </w:tcPr>
          <w:p>
            <w:pP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de-DE"/>
              </w:rPr>
              <w:t>allgemeine Vorprüfung des Einzelfalls zur Festlegung der UVP-Pflicht</w:t>
            </w:r>
          </w:p>
        </w:tc>
      </w:tr>
    </w:tbl>
    <w:p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Antrag, die Antragsunterlagen und bisher eingegangene behördliche Stellungnahmen mit Angaben über die Auswirkungen der Anlage auf die Nachbarschaft und die Allgemeinheit </w:t>
      </w:r>
      <w:r>
        <w:rPr>
          <w:rFonts w:ascii="Arial" w:hAnsi="Arial" w:cs="Arial"/>
          <w:sz w:val="22"/>
          <w:szCs w:val="22"/>
        </w:rPr>
        <w:lastRenderedPageBreak/>
        <w:t>oder mit enthaltenen Empfehlungen über die Begrenzung dieser Auswirkungen sind gemäß § 10 Abs. 3 BImSchG in der Zeit vom </w:t>
      </w:r>
      <w:r>
        <w:rPr>
          <w:rStyle w:val="Fett"/>
          <w:rFonts w:ascii="Arial" w:hAnsi="Arial" w:cs="Arial"/>
          <w:sz w:val="22"/>
          <w:szCs w:val="22"/>
          <w:bdr w:val="none" w:sz="0" w:space="0" w:color="auto" w:frame="1"/>
        </w:rPr>
        <w:t>11.02.2025 bis einschließlich 11.03.2025 </w:t>
      </w:r>
      <w:r>
        <w:rPr>
          <w:rFonts w:ascii="Arial" w:hAnsi="Arial" w:cs="Arial"/>
          <w:sz w:val="22"/>
          <w:szCs w:val="22"/>
        </w:rPr>
        <w:t>zur Einsichtnahme ausgelegt im: </w:t>
      </w:r>
    </w:p>
    <w:p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Staatlichen Amt für Landwirtschaft und Umwelt Vorpommern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Dienststelle Stralsund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Abteilung Immissions- und Klimaschutz, Abfall- und Kreislaufwirtschaft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Ossenreyerstraße</w:t>
      </w:r>
      <w:proofErr w:type="spellEnd"/>
      <w:r>
        <w:rPr>
          <w:rFonts w:ascii="Arial" w:hAnsi="Arial" w:cs="Arial"/>
          <w:sz w:val="22"/>
          <w:szCs w:val="22"/>
        </w:rPr>
        <w:t xml:space="preserve"> 56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18439 Stralsund</w:t>
      </w:r>
    </w:p>
    <w:p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           07:00 – 15:30 Uhr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Dienstag         07:00 – 17:00 Uhr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Mittwoch         07:00 – 15:30 Uhr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Donnerstag     07:00 – 15:30 Uhr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Freitag            07:00 – 14:00 Uhr</w:t>
      </w:r>
    </w:p>
    <w:p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Schriftliche oder elektronische Einwendungen gegen das Vorhaben können gemäß § 10 Abs. 3 BImSchG in der Zeit vom </w:t>
      </w:r>
      <w:r>
        <w:rPr>
          <w:rFonts w:ascii="Arial" w:eastAsia="Times New Roman" w:hAnsi="Arial" w:cs="Arial"/>
          <w:b/>
          <w:bCs/>
          <w:bdr w:val="none" w:sz="0" w:space="0" w:color="auto" w:frame="1"/>
          <w:lang w:eastAsia="de-DE"/>
        </w:rPr>
        <w:t>11.02.2025 bis einschließlich 11.04.2025</w:t>
      </w:r>
      <w:r>
        <w:rPr>
          <w:rFonts w:ascii="Arial" w:eastAsia="Times New Roman" w:hAnsi="Arial" w:cs="Arial"/>
          <w:lang w:eastAsia="de-DE"/>
        </w:rPr>
        <w:t> im</w:t>
      </w:r>
    </w:p>
    <w:p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Staatliches Amt für Landwirtschaft und Umwelt Vorpommern</w:t>
      </w:r>
      <w:r>
        <w:rPr>
          <w:rFonts w:ascii="Arial" w:eastAsia="Times New Roman" w:hAnsi="Arial" w:cs="Arial"/>
          <w:lang w:eastAsia="de-DE"/>
        </w:rPr>
        <w:br/>
        <w:t>Dienststelle Stralsund</w:t>
      </w:r>
      <w:r>
        <w:rPr>
          <w:rFonts w:ascii="Arial" w:eastAsia="Times New Roman" w:hAnsi="Arial" w:cs="Arial"/>
          <w:lang w:eastAsia="de-DE"/>
        </w:rPr>
        <w:br/>
        <w:t>Abt. Immissions- und Klimaschutz, Abfall und Kreislaufwirtschaft</w:t>
      </w:r>
      <w:r>
        <w:rPr>
          <w:rFonts w:ascii="Arial" w:eastAsia="Times New Roman" w:hAnsi="Arial" w:cs="Arial"/>
          <w:lang w:eastAsia="de-DE"/>
        </w:rPr>
        <w:br/>
      </w:r>
      <w:proofErr w:type="spellStart"/>
      <w:r>
        <w:rPr>
          <w:rFonts w:ascii="Arial" w:eastAsia="Times New Roman" w:hAnsi="Arial" w:cs="Arial"/>
          <w:lang w:eastAsia="de-DE"/>
        </w:rPr>
        <w:t>Badenstraße</w:t>
      </w:r>
      <w:proofErr w:type="spellEnd"/>
      <w:r>
        <w:rPr>
          <w:rFonts w:ascii="Arial" w:eastAsia="Times New Roman" w:hAnsi="Arial" w:cs="Arial"/>
          <w:lang w:eastAsia="de-DE"/>
        </w:rPr>
        <w:t xml:space="preserve"> 18</w:t>
      </w:r>
      <w:r>
        <w:rPr>
          <w:rFonts w:ascii="Arial" w:eastAsia="Times New Roman" w:hAnsi="Arial" w:cs="Arial"/>
          <w:lang w:eastAsia="de-DE"/>
        </w:rPr>
        <w:br/>
        <w:t>18439 Stralsund</w:t>
      </w:r>
    </w:p>
    <w:p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Einwendungen sollen erkennen lassen, welches Rechtsgut oder Interesse aus der Sicht des </w:t>
      </w:r>
      <w:proofErr w:type="spellStart"/>
      <w:r>
        <w:rPr>
          <w:rFonts w:ascii="Arial" w:eastAsia="Times New Roman" w:hAnsi="Arial" w:cs="Arial"/>
          <w:lang w:eastAsia="de-DE"/>
        </w:rPr>
        <w:t>Einwenders</w:t>
      </w:r>
      <w:proofErr w:type="spellEnd"/>
      <w:r>
        <w:rPr>
          <w:rFonts w:ascii="Arial" w:eastAsia="Times New Roman" w:hAnsi="Arial" w:cs="Arial"/>
          <w:lang w:eastAsia="de-DE"/>
        </w:rPr>
        <w:t xml:space="preserve"> verletzt wird. Nach Ablauf dieser Frist sind weitere Einwendungen ausgeschlossen, die nicht auf besonderen privatrechtlichen Titeln beruhen.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Einwendungen werden dem Antragsteller sowie den beteiligten Behörden bekannt gegeben, deren Aufgabenbereich von den Einwendungen berührt ist. Der </w:t>
      </w:r>
      <w:proofErr w:type="spellStart"/>
      <w:r>
        <w:rPr>
          <w:rFonts w:ascii="Arial" w:eastAsia="Times New Roman" w:hAnsi="Arial" w:cs="Arial"/>
          <w:lang w:eastAsia="de-DE"/>
        </w:rPr>
        <w:t>Einwender</w:t>
      </w:r>
      <w:proofErr w:type="spellEnd"/>
      <w:r>
        <w:rPr>
          <w:rFonts w:ascii="Arial" w:eastAsia="Times New Roman" w:hAnsi="Arial" w:cs="Arial"/>
          <w:lang w:eastAsia="de-DE"/>
        </w:rPr>
        <w:t xml:space="preserve"> kann verlangen, dass sein Name und seine Anschrift (vor der Bekanntgabe) unkenntlich gemacht werden, wenn diese zur ordnungsgemäßen Durchführung des Genehmigungsverfahrens nicht erforderlich sind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Soweit vorliegend, werden die form- und fristgerecht erhobenen Einwendungen gegen das Vorhaben, auch beim Fernbleiben des Antragstellers oder der Personen, die Einwendungen erhoben haben voraussichtlich,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 </w:t>
      </w:r>
      <w:r>
        <w:rPr>
          <w:rStyle w:val="Fett"/>
          <w:rFonts w:ascii="Arial" w:hAnsi="Arial" w:cs="Arial"/>
          <w:sz w:val="22"/>
          <w:szCs w:val="22"/>
          <w:bdr w:val="none" w:sz="0" w:space="0" w:color="auto" w:frame="1"/>
        </w:rPr>
        <w:t>22.05.2025 ab 09.30 Uhr</w:t>
      </w:r>
      <w:r>
        <w:rPr>
          <w:rFonts w:ascii="Arial" w:hAnsi="Arial" w:cs="Arial"/>
          <w:sz w:val="22"/>
          <w:szCs w:val="22"/>
        </w:rPr>
        <w:t> und falls erforderlich an den Folgetagen im</w:t>
      </w:r>
    </w:p>
    <w:p>
      <w:pPr>
        <w:pStyle w:val="StandardWeb"/>
        <w:shd w:val="clear" w:color="auto" w:fill="FFFFFF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Staatlichen Amt für Landwirtschaft und Umwelt Vorpommern</w:t>
      </w:r>
      <w:r>
        <w:rPr>
          <w:rFonts w:ascii="Arial" w:hAnsi="Arial" w:cs="Arial"/>
          <w:sz w:val="22"/>
          <w:szCs w:val="22"/>
        </w:rPr>
        <w:br/>
        <w:t>Dienststelle Stralsund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Badenstraße</w:t>
      </w:r>
      <w:proofErr w:type="spellEnd"/>
      <w:r>
        <w:rPr>
          <w:rFonts w:ascii="Arial" w:hAnsi="Arial" w:cs="Arial"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br/>
        <w:t>18439 Stralsund</w:t>
      </w:r>
    </w:p>
    <w:p>
      <w:pPr>
        <w:pStyle w:val="StandardWeb"/>
        <w:shd w:val="clear" w:color="auto" w:fill="FFFFFF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öffentlicher Sitzung erörtert.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Erörterungstermin wird aufgrund einer Ermessensentscheidung der Genehmigungsbehörde nach § 10 Abs. 6 BImSchG durchgeführt.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Zustellung der Entscheidung über die Einwendungen kann durch öffentliche Bekanntmachung ersetzt werden.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Genehmigungsbehörde wird über den Antrag nach den Vorschriften des Bundes-Immissionsschutzgesetzes entscheiden.</w:t>
      </w:r>
    </w:p>
    <w:p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Die Entscheidung über den Antrag wird öffentlich bekannt gemacht.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6EF"/>
    <w:multiLevelType w:val="multilevel"/>
    <w:tmpl w:val="38E64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7703-31A3-4EE3-8F21-F2705780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VP-52c (Frau Genelauszus-Gerke)</dc:creator>
  <cp:keywords/>
  <dc:description/>
  <cp:lastModifiedBy>StALU VP-52e (Frau Dietze)</cp:lastModifiedBy>
  <cp:revision>5</cp:revision>
  <cp:lastPrinted>2025-01-21T05:35:00Z</cp:lastPrinted>
  <dcterms:created xsi:type="dcterms:W3CDTF">2025-01-22T13:17:00Z</dcterms:created>
  <dcterms:modified xsi:type="dcterms:W3CDTF">2025-01-24T06:11:00Z</dcterms:modified>
</cp:coreProperties>
</file>