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A2" w:rsidRDefault="009159A2" w:rsidP="00480A99">
      <w:pPr>
        <w:rPr>
          <w:rFonts w:cs="Arial"/>
          <w:sz w:val="22"/>
          <w:szCs w:val="22"/>
        </w:rPr>
      </w:pPr>
      <w:bookmarkStart w:id="0" w:name="_GoBack"/>
      <w:bookmarkEnd w:id="0"/>
    </w:p>
    <w:p w:rsidR="003736B1" w:rsidRDefault="003736B1" w:rsidP="00480A99">
      <w:pPr>
        <w:rPr>
          <w:rFonts w:cs="Arial"/>
          <w:sz w:val="22"/>
          <w:szCs w:val="22"/>
        </w:rPr>
      </w:pPr>
    </w:p>
    <w:p w:rsidR="003736B1" w:rsidRDefault="003736B1" w:rsidP="003736B1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Aktenzeichen:</w:t>
      </w:r>
      <w:r w:rsidR="00D8128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517-Merc. 1/51-</w:t>
      </w:r>
      <w:r w:rsidR="00B86249">
        <w:rPr>
          <w:rFonts w:cs="Arial"/>
          <w:sz w:val="22"/>
          <w:szCs w:val="22"/>
        </w:rPr>
        <w:t>5</w:t>
      </w:r>
      <w:r w:rsidR="00960028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/</w:t>
      </w:r>
      <w:r w:rsidR="00B86249">
        <w:rPr>
          <w:rFonts w:cs="Arial"/>
          <w:sz w:val="22"/>
          <w:szCs w:val="22"/>
        </w:rPr>
        <w:t>50</w:t>
      </w:r>
    </w:p>
    <w:p w:rsidR="003736B1" w:rsidRDefault="00960028" w:rsidP="003736B1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="000F305C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>.01.2020</w:t>
      </w:r>
    </w:p>
    <w:p w:rsidR="003736B1" w:rsidRDefault="003736B1" w:rsidP="003736B1">
      <w:pPr>
        <w:jc w:val="right"/>
        <w:rPr>
          <w:rFonts w:cs="Arial"/>
          <w:sz w:val="22"/>
          <w:szCs w:val="22"/>
        </w:rPr>
      </w:pPr>
    </w:p>
    <w:p w:rsidR="003736B1" w:rsidRDefault="003736B1" w:rsidP="00480A99">
      <w:pPr>
        <w:rPr>
          <w:rFonts w:cs="Arial"/>
          <w:sz w:val="22"/>
          <w:szCs w:val="22"/>
        </w:rPr>
      </w:pPr>
    </w:p>
    <w:p w:rsidR="009159A2" w:rsidRPr="00B86249" w:rsidRDefault="009159A2" w:rsidP="009159A2">
      <w:pPr>
        <w:spacing w:line="312" w:lineRule="auto"/>
        <w:jc w:val="center"/>
        <w:rPr>
          <w:b/>
          <w:bCs/>
          <w:sz w:val="22"/>
        </w:rPr>
      </w:pPr>
      <w:r w:rsidRPr="00B86249">
        <w:rPr>
          <w:b/>
          <w:bCs/>
          <w:sz w:val="22"/>
        </w:rPr>
        <w:t xml:space="preserve">Vorprüfung eines Einzelfalls nach dem Gesetz über die </w:t>
      </w:r>
      <w:r w:rsidRPr="00B86249">
        <w:rPr>
          <w:b/>
          <w:bCs/>
          <w:sz w:val="22"/>
        </w:rPr>
        <w:br/>
        <w:t>Umweltverträglichkeitsprüfung</w:t>
      </w:r>
    </w:p>
    <w:p w:rsidR="009159A2" w:rsidRPr="00B86249" w:rsidRDefault="009159A2" w:rsidP="009159A2">
      <w:pPr>
        <w:spacing w:line="360" w:lineRule="auto"/>
        <w:rPr>
          <w:rFonts w:cs="Arial"/>
          <w:b/>
          <w:sz w:val="22"/>
        </w:rPr>
      </w:pPr>
    </w:p>
    <w:p w:rsidR="00A6133E" w:rsidRDefault="00A6133E" w:rsidP="009159A2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</w:t>
      </w:r>
      <w:r w:rsidRPr="00A6133E">
        <w:rPr>
          <w:rFonts w:cs="Arial"/>
          <w:sz w:val="22"/>
        </w:rPr>
        <w:t>um Vorhaben</w:t>
      </w:r>
      <w:r>
        <w:rPr>
          <w:rFonts w:cs="Arial"/>
          <w:sz w:val="22"/>
        </w:rPr>
        <w:t>:</w:t>
      </w:r>
    </w:p>
    <w:p w:rsidR="00A6133E" w:rsidRPr="00A6133E" w:rsidRDefault="00A6133E" w:rsidP="009159A2">
      <w:pPr>
        <w:spacing w:line="360" w:lineRule="auto"/>
        <w:rPr>
          <w:rFonts w:cs="Arial"/>
          <w:sz w:val="22"/>
        </w:rPr>
      </w:pPr>
    </w:p>
    <w:p w:rsidR="009159A2" w:rsidRPr="00960028" w:rsidRDefault="00960028" w:rsidP="00960028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Cs w:val="28"/>
        </w:rPr>
      </w:pPr>
      <w:r>
        <w:rPr>
          <w:rFonts w:ascii="Helvetica-Bold" w:hAnsi="Helvetica-Bold" w:cs="Helvetica-Bold"/>
          <w:b/>
          <w:bCs/>
          <w:szCs w:val="28"/>
        </w:rPr>
        <w:t>Änderung zur Änderungsgenehmigung Az. 517-Merc.1/51-50/50-6 vom 05.03.2018</w:t>
      </w:r>
      <w:r>
        <w:rPr>
          <w:rFonts w:ascii="Helvetica-Bold" w:hAnsi="Helvetica-Bold" w:cs="Helvetica-Bold"/>
          <w:b/>
          <w:bCs/>
          <w:szCs w:val="28"/>
        </w:rPr>
        <w:br/>
        <w:t>„H</w:t>
      </w:r>
      <w:r w:rsidR="006C39CA" w:rsidRPr="00960028">
        <w:rPr>
          <w:rFonts w:ascii="Helvetica-Bold" w:hAnsi="Helvetica-Bold" w:cs="Helvetica-Bold"/>
          <w:b/>
          <w:bCs/>
          <w:szCs w:val="28"/>
        </w:rPr>
        <w:t>alle 80</w:t>
      </w:r>
      <w:r>
        <w:rPr>
          <w:rFonts w:ascii="Helvetica-Bold" w:hAnsi="Helvetica-Bold" w:cs="Helvetica-Bold"/>
          <w:b/>
          <w:bCs/>
          <w:szCs w:val="28"/>
        </w:rPr>
        <w:t xml:space="preserve"> für den Karosseriebau und Integration der produktionstechnischen Anlagen 7/70/80 inklusive der logistischen Anbindung“</w:t>
      </w:r>
    </w:p>
    <w:p w:rsidR="009159A2" w:rsidRPr="009159A2" w:rsidRDefault="009159A2" w:rsidP="009159A2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sz w:val="22"/>
        </w:rPr>
      </w:pPr>
    </w:p>
    <w:p w:rsidR="00A6133E" w:rsidRPr="00A6133E" w:rsidRDefault="008056EA" w:rsidP="00A6133E">
      <w:pPr>
        <w:rPr>
          <w:sz w:val="22"/>
        </w:rPr>
      </w:pPr>
      <w:r>
        <w:rPr>
          <w:rFonts w:cs="Arial"/>
          <w:sz w:val="22"/>
          <w:u w:val="single"/>
        </w:rPr>
        <w:t>Antragsteller</w:t>
      </w:r>
      <w:r w:rsidR="00A6133E">
        <w:rPr>
          <w:rFonts w:cs="Arial"/>
          <w:sz w:val="22"/>
          <w:u w:val="single"/>
        </w:rPr>
        <w:t>in</w:t>
      </w:r>
      <w:r w:rsidRPr="009159A2">
        <w:rPr>
          <w:rFonts w:cs="Arial"/>
          <w:b/>
          <w:bCs/>
          <w:sz w:val="22"/>
          <w:u w:val="single"/>
        </w:rPr>
        <w:t>:</w:t>
      </w:r>
      <w:r w:rsidRPr="009159A2">
        <w:rPr>
          <w:rFonts w:cs="Arial"/>
          <w:sz w:val="22"/>
        </w:rPr>
        <w:br/>
      </w:r>
      <w:r w:rsidRPr="00A6133E">
        <w:rPr>
          <w:sz w:val="22"/>
        </w:rPr>
        <w:t>Daimler AG</w:t>
      </w:r>
    </w:p>
    <w:p w:rsidR="008056EA" w:rsidRPr="00A6133E" w:rsidRDefault="008056EA" w:rsidP="00A6133E">
      <w:pPr>
        <w:rPr>
          <w:sz w:val="22"/>
        </w:rPr>
      </w:pPr>
      <w:r w:rsidRPr="00A6133E">
        <w:rPr>
          <w:sz w:val="22"/>
        </w:rPr>
        <w:t>Mercedesstr. 1</w:t>
      </w:r>
    </w:p>
    <w:p w:rsidR="008056EA" w:rsidRPr="00A6133E" w:rsidRDefault="008056EA" w:rsidP="00A6133E">
      <w:pPr>
        <w:rPr>
          <w:sz w:val="22"/>
        </w:rPr>
      </w:pPr>
      <w:r w:rsidRPr="00A6133E">
        <w:rPr>
          <w:sz w:val="22"/>
        </w:rPr>
        <w:t>28190 Bremen</w:t>
      </w:r>
    </w:p>
    <w:p w:rsidR="009159A2" w:rsidRDefault="00A6133E" w:rsidP="00960028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  <w:r>
        <w:rPr>
          <w:sz w:val="22"/>
        </w:rPr>
        <w:t xml:space="preserve">Antrag </w:t>
      </w:r>
      <w:r w:rsidR="00514CB9">
        <w:rPr>
          <w:sz w:val="22"/>
        </w:rPr>
        <w:t xml:space="preserve">auf immissionsschutzrechtliche Änderungsgenehmigung vom </w:t>
      </w:r>
      <w:r w:rsidR="00960028">
        <w:rPr>
          <w:sz w:val="22"/>
        </w:rPr>
        <w:t>2</w:t>
      </w:r>
      <w:r w:rsidR="000F305C">
        <w:rPr>
          <w:sz w:val="22"/>
        </w:rPr>
        <w:t>2</w:t>
      </w:r>
      <w:r w:rsidR="00960028">
        <w:rPr>
          <w:sz w:val="22"/>
        </w:rPr>
        <w:t>.01.2019</w:t>
      </w:r>
    </w:p>
    <w:p w:rsidR="00960028" w:rsidRDefault="00960028" w:rsidP="00960028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960028" w:rsidRPr="009159A2" w:rsidRDefault="00960028" w:rsidP="00960028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rFonts w:cs="Arial"/>
          <w:sz w:val="22"/>
        </w:rPr>
      </w:pPr>
    </w:p>
    <w:p w:rsidR="009159A2" w:rsidRPr="008056EA" w:rsidRDefault="00A6133E" w:rsidP="009159A2">
      <w:pPr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1. </w:t>
      </w:r>
      <w:r w:rsidR="008056EA" w:rsidRPr="008056EA">
        <w:rPr>
          <w:rFonts w:cs="Arial"/>
          <w:b/>
          <w:sz w:val="22"/>
        </w:rPr>
        <w:t>Beschreibung</w:t>
      </w:r>
      <w:r w:rsidR="009159A2" w:rsidRPr="008056EA">
        <w:rPr>
          <w:rFonts w:cs="Arial"/>
          <w:b/>
          <w:sz w:val="22"/>
        </w:rPr>
        <w:t>:</w:t>
      </w:r>
    </w:p>
    <w:p w:rsidR="008056EA" w:rsidRDefault="008056EA" w:rsidP="009159A2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1659E7" w:rsidRDefault="00212B51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 xml:space="preserve">Auf dem Werksgelände der Daimler AG in Bremen </w:t>
      </w:r>
      <w:r w:rsidR="00960028">
        <w:rPr>
          <w:sz w:val="22"/>
        </w:rPr>
        <w:t>wurde am 05.03.18</w:t>
      </w:r>
      <w:r w:rsidR="001659E7">
        <w:rPr>
          <w:sz w:val="22"/>
        </w:rPr>
        <w:t xml:space="preserve"> ein 2-geschossiger Neubau, Rohproduktionshalle 80 nördlich der bestehenden Rohbauproduktionshalle 70 </w:t>
      </w:r>
      <w:r w:rsidR="000A32DF">
        <w:rPr>
          <w:sz w:val="22"/>
        </w:rPr>
        <w:t xml:space="preserve">für die stufenweise </w:t>
      </w:r>
      <w:r w:rsidR="001659E7">
        <w:rPr>
          <w:sz w:val="22"/>
        </w:rPr>
        <w:t>Integration</w:t>
      </w:r>
      <w:r w:rsidR="000A32DF">
        <w:rPr>
          <w:sz w:val="22"/>
        </w:rPr>
        <w:t xml:space="preserve"> neuer Baureihen </w:t>
      </w:r>
      <w:r w:rsidR="005929D7">
        <w:rPr>
          <w:sz w:val="22"/>
        </w:rPr>
        <w:t xml:space="preserve">genehmigt; die Halle wurde bereits </w:t>
      </w:r>
      <w:r w:rsidR="001659E7">
        <w:rPr>
          <w:sz w:val="22"/>
        </w:rPr>
        <w:t>errichtet.</w:t>
      </w:r>
    </w:p>
    <w:p w:rsidR="000A32DF" w:rsidRDefault="00960028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>Hierfür wurden</w:t>
      </w:r>
      <w:r w:rsidR="001E069A">
        <w:rPr>
          <w:sz w:val="22"/>
        </w:rPr>
        <w:t xml:space="preserve"> Bestandsflächen</w:t>
      </w:r>
      <w:r w:rsidR="009E1516">
        <w:rPr>
          <w:sz w:val="22"/>
        </w:rPr>
        <w:t xml:space="preserve"> </w:t>
      </w:r>
      <w:r w:rsidR="000A32DF">
        <w:rPr>
          <w:sz w:val="22"/>
        </w:rPr>
        <w:t xml:space="preserve">und </w:t>
      </w:r>
      <w:r w:rsidR="00EF4047">
        <w:rPr>
          <w:sz w:val="22"/>
        </w:rPr>
        <w:t>Be</w:t>
      </w:r>
      <w:r w:rsidR="009E1516">
        <w:rPr>
          <w:sz w:val="22"/>
        </w:rPr>
        <w:t>standsa</w:t>
      </w:r>
      <w:r w:rsidR="00B86249">
        <w:rPr>
          <w:sz w:val="22"/>
        </w:rPr>
        <w:t>nlagen</w:t>
      </w:r>
      <w:r w:rsidR="000A32DF">
        <w:rPr>
          <w:sz w:val="22"/>
        </w:rPr>
        <w:t xml:space="preserve"> für die Karosseriefertigung genutzt.</w:t>
      </w:r>
      <w:r w:rsidR="00546483">
        <w:rPr>
          <w:sz w:val="22"/>
        </w:rPr>
        <w:t xml:space="preserve"> Eine Anpassung an die Außenanlagen und Verkehrsführungen wird entsprechend der Bedürfnisse hergestellt und in das vorhandene Werksstraßennetz eingebunden.</w:t>
      </w:r>
    </w:p>
    <w:p w:rsidR="001E069A" w:rsidRDefault="001E069A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>Die Fertigung teilt sich auf zwei Rohbaulinien auf:</w:t>
      </w:r>
    </w:p>
    <w:p w:rsidR="001659E7" w:rsidRPr="00D76455" w:rsidRDefault="001E069A" w:rsidP="001E069A">
      <w:pPr>
        <w:pStyle w:val="Listenabsatz"/>
        <w:numPr>
          <w:ilvl w:val="0"/>
          <w:numId w:val="6"/>
        </w:num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rFonts w:ascii="Arial" w:hAnsi="Arial" w:cs="Arial"/>
          <w:lang w:val="en-US"/>
        </w:rPr>
      </w:pPr>
      <w:r w:rsidRPr="00D76455">
        <w:rPr>
          <w:rFonts w:ascii="Arial" w:hAnsi="Arial" w:cs="Arial"/>
          <w:lang w:val="en-US"/>
        </w:rPr>
        <w:t>Modul 1: Limousine, Kombi, Coup</w:t>
      </w:r>
      <w:r w:rsidR="009E1516">
        <w:rPr>
          <w:rFonts w:ascii="Arial" w:hAnsi="Arial" w:cs="Arial"/>
          <w:lang w:val="en-US"/>
        </w:rPr>
        <w:t>é</w:t>
      </w:r>
      <w:r w:rsidR="00D76455" w:rsidRPr="009E1516">
        <w:rPr>
          <w:lang w:val="en-US"/>
        </w:rPr>
        <w:t xml:space="preserve"> </w:t>
      </w:r>
      <w:r w:rsidR="00D76455" w:rsidRPr="00D76455">
        <w:rPr>
          <w:rFonts w:ascii="Arial" w:hAnsi="Arial" w:cs="Arial"/>
          <w:lang w:val="en-US"/>
        </w:rPr>
        <w:t>und</w:t>
      </w:r>
      <w:r w:rsidR="00D76455" w:rsidRPr="00EF4047">
        <w:rPr>
          <w:rFonts w:ascii="Arial" w:hAnsi="Arial" w:cs="Arial"/>
          <w:lang w:val="fr-CI"/>
        </w:rPr>
        <w:t xml:space="preserve"> </w:t>
      </w:r>
      <w:r w:rsidR="00EF4047" w:rsidRPr="00EF4047">
        <w:rPr>
          <w:rFonts w:ascii="Arial" w:hAnsi="Arial" w:cs="Arial"/>
          <w:lang w:val="fr-CI"/>
        </w:rPr>
        <w:t>Cabrio</w:t>
      </w:r>
    </w:p>
    <w:p w:rsidR="00D76455" w:rsidRPr="009E1516" w:rsidRDefault="00D76455" w:rsidP="001E069A">
      <w:pPr>
        <w:pStyle w:val="Listenabsatz"/>
        <w:numPr>
          <w:ilvl w:val="0"/>
          <w:numId w:val="6"/>
        </w:num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rFonts w:ascii="Arial" w:hAnsi="Arial" w:cs="Arial"/>
        </w:rPr>
      </w:pPr>
      <w:r w:rsidRPr="009E1516">
        <w:rPr>
          <w:rFonts w:ascii="Arial" w:hAnsi="Arial" w:cs="Arial"/>
        </w:rPr>
        <w:t>Modul 2: SUV,SUV-Coup</w:t>
      </w:r>
      <w:r w:rsidR="009E1516" w:rsidRPr="009E1516">
        <w:rPr>
          <w:rFonts w:ascii="Arial" w:hAnsi="Arial" w:cs="Arial"/>
        </w:rPr>
        <w:t>é</w:t>
      </w:r>
      <w:r w:rsidRPr="009E1516">
        <w:rPr>
          <w:rFonts w:ascii="Arial" w:hAnsi="Arial" w:cs="Arial"/>
        </w:rPr>
        <w:t>, Elektrofahrzeug</w:t>
      </w:r>
    </w:p>
    <w:p w:rsidR="000A32DF" w:rsidRDefault="000A32DF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 xml:space="preserve">Es </w:t>
      </w:r>
      <w:r w:rsidR="00960028">
        <w:rPr>
          <w:sz w:val="22"/>
        </w:rPr>
        <w:t>war seinerzeit</w:t>
      </w:r>
      <w:r w:rsidR="00D76455">
        <w:rPr>
          <w:sz w:val="22"/>
        </w:rPr>
        <w:t xml:space="preserve"> </w:t>
      </w:r>
      <w:r>
        <w:rPr>
          <w:sz w:val="22"/>
        </w:rPr>
        <w:t xml:space="preserve">ein </w:t>
      </w:r>
      <w:r w:rsidR="00546483">
        <w:rPr>
          <w:sz w:val="22"/>
        </w:rPr>
        <w:t xml:space="preserve">2-Schicht </w:t>
      </w:r>
      <w:r>
        <w:rPr>
          <w:sz w:val="22"/>
        </w:rPr>
        <w:t>Tagesbetrieb von 6:00 bis 2</w:t>
      </w:r>
      <w:r w:rsidR="00D76455">
        <w:rPr>
          <w:sz w:val="22"/>
        </w:rPr>
        <w:t>2:00 vorgesehen, Schallquellen sind aber für Nachfolgeflexibilität auf 3-Schichten ausgelegt.</w:t>
      </w:r>
    </w:p>
    <w:p w:rsidR="005929D7" w:rsidRDefault="005929D7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</w:p>
    <w:p w:rsidR="000A32DF" w:rsidRDefault="00960028" w:rsidP="00937EAB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>Dieses Genehmigungsverfahren bezieht sich ausschließlich auf die o.g. Änderungen</w:t>
      </w:r>
      <w:r w:rsidR="005929D7">
        <w:rPr>
          <w:sz w:val="22"/>
        </w:rPr>
        <w:t>, die sich im Nachhinein als erforderlich</w:t>
      </w:r>
      <w:r w:rsidR="005F4FBC">
        <w:rPr>
          <w:sz w:val="22"/>
        </w:rPr>
        <w:t>e Optimierungen</w:t>
      </w:r>
      <w:r w:rsidR="005929D7">
        <w:rPr>
          <w:sz w:val="22"/>
        </w:rPr>
        <w:t xml:space="preserve"> zeigten</w:t>
      </w:r>
      <w:r>
        <w:rPr>
          <w:sz w:val="22"/>
        </w:rPr>
        <w:t>.</w:t>
      </w:r>
      <w:r w:rsidR="004B3599">
        <w:rPr>
          <w:sz w:val="22"/>
        </w:rPr>
        <w:t xml:space="preserve"> </w:t>
      </w:r>
    </w:p>
    <w:p w:rsidR="00CF6705" w:rsidRDefault="00CF6705" w:rsidP="009159A2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480A99" w:rsidRDefault="00CF6705" w:rsidP="00480A99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="00480A99">
        <w:rPr>
          <w:rFonts w:cs="Arial"/>
          <w:b/>
          <w:sz w:val="22"/>
          <w:szCs w:val="22"/>
        </w:rPr>
        <w:t>Rechtsgrundlagen</w:t>
      </w:r>
      <w:r w:rsidR="00480A99">
        <w:rPr>
          <w:rFonts w:cs="Arial"/>
          <w:sz w:val="22"/>
          <w:szCs w:val="22"/>
        </w:rPr>
        <w:t xml:space="preserve"> </w:t>
      </w:r>
    </w:p>
    <w:p w:rsidR="00480A99" w:rsidRDefault="00480A99" w:rsidP="00480A99">
      <w:pPr>
        <w:rPr>
          <w:rFonts w:cs="Arial"/>
          <w:sz w:val="22"/>
          <w:szCs w:val="22"/>
        </w:rPr>
      </w:pP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Die Anlage unterliegt der Genehmigungspflicht nach § 16 BImSchG in Verbindung mit Nr. 3.24 G des Anhangs</w:t>
      </w:r>
      <w:r w:rsidR="00C55793">
        <w:rPr>
          <w:rFonts w:cs="Arial"/>
          <w:sz w:val="22"/>
          <w:szCs w:val="22"/>
        </w:rPr>
        <w:t xml:space="preserve"> 1</w:t>
      </w:r>
      <w:r>
        <w:rPr>
          <w:rFonts w:cs="Arial"/>
          <w:sz w:val="22"/>
          <w:szCs w:val="22"/>
        </w:rPr>
        <w:t xml:space="preserve"> zur Verordnung über genehmigungsbedürftige Anlagen (4. BImSchV).</w:t>
      </w: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Vorhaben ist außerdem als Änderung eines Vorhabens nach Nr. 3.14 Spalte 2 der Anlage 1 zum Gesetz über die Umweltverträglichkeitsprüfu</w:t>
      </w:r>
      <w:r w:rsidR="00514CB9">
        <w:rPr>
          <w:rFonts w:cs="Arial"/>
          <w:sz w:val="22"/>
          <w:szCs w:val="22"/>
        </w:rPr>
        <w:t>ng (UV</w:t>
      </w:r>
      <w:r w:rsidR="009168F0">
        <w:rPr>
          <w:rFonts w:cs="Arial"/>
          <w:sz w:val="22"/>
          <w:szCs w:val="22"/>
        </w:rPr>
        <w:t>PG) einzuordnen. Nach § 9 Abs.</w:t>
      </w:r>
      <w:r w:rsidR="00514CB9">
        <w:rPr>
          <w:rFonts w:cs="Arial"/>
          <w:sz w:val="22"/>
          <w:szCs w:val="22"/>
        </w:rPr>
        <w:t xml:space="preserve"> 3</w:t>
      </w:r>
      <w:r w:rsidR="007B44C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UVPG ist eine allgemeine Vorp</w:t>
      </w:r>
      <w:r w:rsidR="007B44CD">
        <w:rPr>
          <w:rFonts w:cs="Arial"/>
          <w:sz w:val="22"/>
          <w:szCs w:val="22"/>
        </w:rPr>
        <w:t xml:space="preserve">rüfung </w:t>
      </w:r>
      <w:r>
        <w:rPr>
          <w:rFonts w:cs="Arial"/>
          <w:sz w:val="22"/>
          <w:szCs w:val="22"/>
        </w:rPr>
        <w:t xml:space="preserve">durchzuführen, ob für das Vorhaben eine </w:t>
      </w:r>
      <w:r w:rsidR="003736B1">
        <w:rPr>
          <w:rFonts w:cs="Arial"/>
          <w:sz w:val="22"/>
          <w:szCs w:val="22"/>
        </w:rPr>
        <w:t>U</w:t>
      </w:r>
      <w:r>
        <w:rPr>
          <w:rFonts w:cs="Arial"/>
          <w:sz w:val="22"/>
          <w:szCs w:val="22"/>
        </w:rPr>
        <w:t>mweltverträglichkeits</w:t>
      </w:r>
      <w:r w:rsidR="003736B1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prüfung erforderlich ist. </w:t>
      </w: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Eine Umweltverträglichkeitsprüfung ist dann erforderlich, wenn das Vorhaben nach überschlägiger Prüfung der zuständigen Behörde unter Berücksichtigung der in der Anlage </w:t>
      </w:r>
      <w:r w:rsidR="009D44E3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des UVPG aufgeführten Kriterien erhebliche nachteilige Umweltauswirkungen haben kann.</w:t>
      </w:r>
    </w:p>
    <w:p w:rsidR="00480A99" w:rsidRDefault="00480A99" w:rsidP="00480A99">
      <w:pPr>
        <w:rPr>
          <w:rFonts w:cs="Arial"/>
          <w:sz w:val="22"/>
          <w:szCs w:val="22"/>
        </w:rPr>
      </w:pPr>
    </w:p>
    <w:p w:rsidR="00480A99" w:rsidRDefault="00480A99" w:rsidP="00480A99">
      <w:pPr>
        <w:rPr>
          <w:rFonts w:cs="Arial"/>
          <w:sz w:val="22"/>
          <w:szCs w:val="22"/>
        </w:rPr>
      </w:pPr>
    </w:p>
    <w:p w:rsidR="00480A99" w:rsidRDefault="00CF6705" w:rsidP="00480A99">
      <w:pPr>
        <w:rPr>
          <w:rFonts w:cs="Arial"/>
          <w:b/>
          <w:sz w:val="22"/>
          <w:szCs w:val="22"/>
        </w:rPr>
      </w:pPr>
      <w:r w:rsidRPr="00CF6705"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</w:t>
      </w:r>
      <w:r w:rsidR="00480A99" w:rsidRPr="00F84444">
        <w:rPr>
          <w:rFonts w:cs="Arial"/>
          <w:b/>
          <w:sz w:val="22"/>
          <w:szCs w:val="22"/>
        </w:rPr>
        <w:t>Unterlagen, die der Vorprüfung zu Grunde liegen</w:t>
      </w:r>
    </w:p>
    <w:p w:rsidR="00480A99" w:rsidRPr="00F84444" w:rsidRDefault="00480A99" w:rsidP="00480A99">
      <w:pPr>
        <w:rPr>
          <w:rFonts w:cs="Arial"/>
          <w:b/>
          <w:bCs/>
          <w:sz w:val="22"/>
          <w:szCs w:val="22"/>
        </w:rPr>
      </w:pPr>
    </w:p>
    <w:p w:rsidR="00480A99" w:rsidRDefault="00480A99" w:rsidP="00480A9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Antrag auf Genehmigung zur wesentlichen Änderung der Beschaffenheit und des Betriebs der Anlage vom </w:t>
      </w:r>
      <w:r w:rsidR="00960028">
        <w:rPr>
          <w:rFonts w:ascii="Arial" w:hAnsi="Arial" w:cs="Arial"/>
        </w:rPr>
        <w:t>28.01.2019</w:t>
      </w:r>
      <w:r>
        <w:rPr>
          <w:rFonts w:ascii="Arial" w:hAnsi="Arial" w:cs="Arial"/>
        </w:rPr>
        <w:t xml:space="preserve"> (§ 16 BImSchG), dieser beinhaltet:</w:t>
      </w:r>
    </w:p>
    <w:p w:rsidR="005C139E" w:rsidRPr="005C139E" w:rsidRDefault="00480A99" w:rsidP="009C2F19">
      <w:pPr>
        <w:pStyle w:val="Listenabsatz"/>
        <w:numPr>
          <w:ilvl w:val="0"/>
          <w:numId w:val="7"/>
        </w:numPr>
        <w:rPr>
          <w:rFonts w:cs="Arial"/>
        </w:rPr>
      </w:pPr>
      <w:r w:rsidRPr="009C2F19">
        <w:rPr>
          <w:rFonts w:ascii="Arial" w:hAnsi="Arial" w:cs="Arial"/>
        </w:rPr>
        <w:t>Antrag</w:t>
      </w:r>
      <w:r w:rsidR="00937EAB" w:rsidRPr="009C2F19">
        <w:rPr>
          <w:rFonts w:ascii="Arial" w:hAnsi="Arial" w:cs="Arial"/>
        </w:rPr>
        <w:t>,</w:t>
      </w:r>
      <w:r w:rsidRPr="009C2F19">
        <w:rPr>
          <w:rFonts w:ascii="Arial" w:hAnsi="Arial" w:cs="Arial"/>
        </w:rPr>
        <w:t xml:space="preserve"> von der öffentlichen Auslegung abzusehen</w:t>
      </w:r>
    </w:p>
    <w:p w:rsidR="005C139E" w:rsidRDefault="005C139E" w:rsidP="005C139E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Schalltechnische Prognose vom 09.10.2017 der Firma Müller-BBM zu Schallemissionen und Immissionen nach Errichtung und Betrieb der Rohbauhalle 80 im 2-Schicht-Betrieb, Bericht Nr. M134466/03</w:t>
      </w:r>
    </w:p>
    <w:p w:rsidR="00480A99" w:rsidRPr="009C2F19" w:rsidRDefault="00480A99" w:rsidP="005C139E">
      <w:pPr>
        <w:pStyle w:val="Listenabsatz"/>
        <w:ind w:left="1800"/>
        <w:rPr>
          <w:rFonts w:cs="Arial"/>
        </w:rPr>
      </w:pPr>
    </w:p>
    <w:p w:rsidR="000173F7" w:rsidRDefault="00EA7C6A" w:rsidP="00480A99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Stellungnahme Senator für Umwelt, Bau und Verkehr, Referat 31 Naturschutz und Landschaftspflege</w:t>
      </w:r>
      <w:r w:rsidR="007A0A78">
        <w:rPr>
          <w:rFonts w:ascii="Arial" w:hAnsi="Arial" w:cs="Arial"/>
        </w:rPr>
        <w:t xml:space="preserve"> vom 27.11.17</w:t>
      </w:r>
    </w:p>
    <w:p w:rsidR="00CF6705" w:rsidRDefault="00CF6705" w:rsidP="00CF6705">
      <w:pPr>
        <w:rPr>
          <w:rFonts w:cs="Arial"/>
        </w:rPr>
      </w:pPr>
    </w:p>
    <w:p w:rsidR="00480A99" w:rsidRDefault="00CF6705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 </w:t>
      </w:r>
      <w:r w:rsidR="00480A99">
        <w:rPr>
          <w:rFonts w:cs="Arial"/>
          <w:b/>
          <w:sz w:val="22"/>
          <w:szCs w:val="22"/>
        </w:rPr>
        <w:t>Umweltauswirkungen</w:t>
      </w:r>
      <w:r w:rsidR="00BD74E6">
        <w:rPr>
          <w:rFonts w:cs="Arial"/>
          <w:b/>
          <w:sz w:val="22"/>
          <w:szCs w:val="22"/>
        </w:rPr>
        <w:br/>
      </w:r>
    </w:p>
    <w:p w:rsidR="00CF6705" w:rsidRDefault="00CF6705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4.1 Grö</w:t>
      </w:r>
      <w:r w:rsidR="00E44973">
        <w:rPr>
          <w:rFonts w:cs="Arial"/>
          <w:b/>
          <w:sz w:val="22"/>
          <w:szCs w:val="22"/>
        </w:rPr>
        <w:t>ß</w:t>
      </w:r>
      <w:r>
        <w:rPr>
          <w:rFonts w:cs="Arial"/>
          <w:b/>
          <w:sz w:val="22"/>
          <w:szCs w:val="22"/>
        </w:rPr>
        <w:t>e des Vorhabens</w:t>
      </w:r>
    </w:p>
    <w:p w:rsidR="00CF6705" w:rsidRDefault="00BD74E6" w:rsidP="00CF670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Durch den Neubau der Halle 80 </w:t>
      </w:r>
      <w:r w:rsidR="005929D7">
        <w:rPr>
          <w:rFonts w:cs="Arial"/>
          <w:sz w:val="22"/>
          <w:szCs w:val="22"/>
        </w:rPr>
        <w:t>war bereits</w:t>
      </w:r>
      <w:r>
        <w:rPr>
          <w:rFonts w:cs="Arial"/>
          <w:sz w:val="22"/>
          <w:szCs w:val="22"/>
        </w:rPr>
        <w:t xml:space="preserve"> eine bauliche Veränderung der umliegenden Infrastruktur gegeben. Die Veränderungen finden innerhalb des Werksgeländes, auf bereits versiegelten Flächen statt. Im Zuge der Baumaßnahme werden Flächen anteilig entsiegelt. Es wird </w:t>
      </w:r>
      <w:r w:rsidR="007A0A78">
        <w:rPr>
          <w:rFonts w:cs="Arial"/>
          <w:sz w:val="22"/>
          <w:szCs w:val="22"/>
        </w:rPr>
        <w:t xml:space="preserve">des Weiteren </w:t>
      </w:r>
      <w:r>
        <w:rPr>
          <w:rFonts w:cs="Arial"/>
          <w:sz w:val="22"/>
          <w:szCs w:val="22"/>
        </w:rPr>
        <w:t xml:space="preserve">ein </w:t>
      </w:r>
      <w:r w:rsidR="009E1516">
        <w:rPr>
          <w:rFonts w:cs="Arial"/>
          <w:sz w:val="22"/>
          <w:szCs w:val="22"/>
        </w:rPr>
        <w:t>Gründ</w:t>
      </w:r>
      <w:r w:rsidR="00B86249">
        <w:rPr>
          <w:rFonts w:cs="Arial"/>
          <w:sz w:val="22"/>
          <w:szCs w:val="22"/>
        </w:rPr>
        <w:t>ach</w:t>
      </w:r>
      <w:r>
        <w:rPr>
          <w:rFonts w:cs="Arial"/>
          <w:sz w:val="22"/>
          <w:szCs w:val="22"/>
        </w:rPr>
        <w:t xml:space="preserve"> realisiert.</w:t>
      </w:r>
      <w:r w:rsidR="005929D7">
        <w:rPr>
          <w:rFonts w:cs="Arial"/>
          <w:sz w:val="22"/>
          <w:szCs w:val="22"/>
        </w:rPr>
        <w:t xml:space="preserve"> Hier werden nur noch unwesentliche Änderungen beantragt.</w:t>
      </w:r>
    </w:p>
    <w:p w:rsidR="00CF6705" w:rsidRDefault="00CF6705" w:rsidP="00480A99">
      <w:pPr>
        <w:rPr>
          <w:rFonts w:cs="Arial"/>
          <w:b/>
          <w:sz w:val="22"/>
          <w:szCs w:val="22"/>
        </w:rPr>
      </w:pPr>
    </w:p>
    <w:p w:rsidR="009E1516" w:rsidRDefault="00CF6705" w:rsidP="009E151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4.2 </w:t>
      </w:r>
      <w:r w:rsidR="009E1516">
        <w:rPr>
          <w:rFonts w:cs="Arial"/>
          <w:b/>
          <w:sz w:val="22"/>
          <w:szCs w:val="22"/>
        </w:rPr>
        <w:t>Standort des Vorhabens</w:t>
      </w:r>
    </w:p>
    <w:p w:rsidR="009E1516" w:rsidRPr="00602EAF" w:rsidRDefault="009E1516" w:rsidP="009E151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Der Standort befindet sich weder im Einwirkbereich an ein Naturschutzgebiet, Landschaftsschutzgebiet, FFH-Gebiet, Biotop, Wasserschutzgebiet, Hochwasserschutzgebiet, Überschwemmungsgebiet oder Erdbebengebiet, noch grenzt es an diese.</w:t>
      </w:r>
    </w:p>
    <w:p w:rsidR="009E1516" w:rsidRDefault="009E1516" w:rsidP="009E1516">
      <w:pPr>
        <w:rPr>
          <w:rFonts w:cs="Arial"/>
          <w:b/>
          <w:sz w:val="22"/>
          <w:szCs w:val="22"/>
        </w:rPr>
      </w:pPr>
    </w:p>
    <w:p w:rsidR="00CF6705" w:rsidRDefault="00CF6705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4.3 Nutzung natürlicher Ressourcen (Flächen, Boden, Wasser, Tiere, Pflanzen, bio. Vielfalt)</w:t>
      </w:r>
    </w:p>
    <w:p w:rsidR="00BD74E6" w:rsidRPr="00BD74E6" w:rsidRDefault="00BD74E6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Wasser und Bodennutzung änder</w:t>
      </w:r>
      <w:r w:rsidR="00E44973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 xml:space="preserve"> sich dur</w:t>
      </w:r>
      <w:r w:rsidR="007A0A78">
        <w:rPr>
          <w:rFonts w:cs="Arial"/>
          <w:sz w:val="22"/>
          <w:szCs w:val="22"/>
        </w:rPr>
        <w:t xml:space="preserve">ch das geplante Vorhaben nicht. Durch den Neubau </w:t>
      </w:r>
      <w:r w:rsidR="005929D7">
        <w:rPr>
          <w:rFonts w:cs="Arial"/>
          <w:sz w:val="22"/>
          <w:szCs w:val="22"/>
        </w:rPr>
        <w:t xml:space="preserve">war bereits </w:t>
      </w:r>
      <w:r w:rsidR="007A0A78">
        <w:rPr>
          <w:rFonts w:cs="Arial"/>
          <w:sz w:val="22"/>
          <w:szCs w:val="22"/>
        </w:rPr>
        <w:t xml:space="preserve">die Fällung geschützter Bäume erforderlich. </w:t>
      </w:r>
      <w:r w:rsidR="004245A9">
        <w:rPr>
          <w:rFonts w:cs="Arial"/>
          <w:sz w:val="22"/>
          <w:szCs w:val="22"/>
        </w:rPr>
        <w:t>Dafür w</w:t>
      </w:r>
      <w:r w:rsidR="005929D7">
        <w:rPr>
          <w:rFonts w:cs="Arial"/>
          <w:sz w:val="22"/>
          <w:szCs w:val="22"/>
        </w:rPr>
        <w:t>u</w:t>
      </w:r>
      <w:r w:rsidR="004245A9">
        <w:rPr>
          <w:rFonts w:cs="Arial"/>
          <w:sz w:val="22"/>
          <w:szCs w:val="22"/>
        </w:rPr>
        <w:t>rden Ersatzpflanzungen, gemäß der Auflage der Naturschutzbehörde vorgenommen.</w:t>
      </w:r>
    </w:p>
    <w:p w:rsidR="00BD74E6" w:rsidRDefault="00BD74E6" w:rsidP="00480A99">
      <w:pPr>
        <w:rPr>
          <w:rFonts w:cs="Arial"/>
          <w:b/>
          <w:sz w:val="22"/>
          <w:szCs w:val="22"/>
        </w:rPr>
      </w:pPr>
    </w:p>
    <w:p w:rsidR="00CF6705" w:rsidRDefault="0056612D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4.4 Erzeugung von Abfällen</w:t>
      </w:r>
    </w:p>
    <w:p w:rsidR="0056612D" w:rsidRDefault="007A0A78" w:rsidP="005661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Durch das geplante Vorhaben</w:t>
      </w:r>
      <w:r w:rsidR="0056612D">
        <w:rPr>
          <w:rFonts w:cs="Arial"/>
          <w:sz w:val="22"/>
          <w:szCs w:val="22"/>
        </w:rPr>
        <w:t xml:space="preserve"> fallen keine </w:t>
      </w:r>
      <w:r>
        <w:rPr>
          <w:rFonts w:cs="Arial"/>
          <w:sz w:val="22"/>
          <w:szCs w:val="22"/>
        </w:rPr>
        <w:t xml:space="preserve">anderen </w:t>
      </w:r>
      <w:r w:rsidR="0056612D">
        <w:rPr>
          <w:rFonts w:cs="Arial"/>
          <w:sz w:val="22"/>
          <w:szCs w:val="22"/>
        </w:rPr>
        <w:t>Abf</w:t>
      </w:r>
      <w:r>
        <w:rPr>
          <w:rFonts w:cs="Arial"/>
          <w:sz w:val="22"/>
          <w:szCs w:val="22"/>
        </w:rPr>
        <w:t xml:space="preserve">allarten </w:t>
      </w:r>
      <w:r w:rsidR="0056612D">
        <w:rPr>
          <w:rFonts w:cs="Arial"/>
          <w:sz w:val="22"/>
          <w:szCs w:val="22"/>
        </w:rPr>
        <w:t>an. Die während der Errichtung de</w:t>
      </w:r>
      <w:r>
        <w:rPr>
          <w:rFonts w:cs="Arial"/>
          <w:sz w:val="22"/>
          <w:szCs w:val="22"/>
        </w:rPr>
        <w:t>r</w:t>
      </w:r>
      <w:r w:rsidR="0056612D">
        <w:rPr>
          <w:rFonts w:cs="Arial"/>
          <w:sz w:val="22"/>
          <w:szCs w:val="22"/>
        </w:rPr>
        <w:t xml:space="preserve"> </w:t>
      </w:r>
      <w:r w:rsidR="004B3599">
        <w:rPr>
          <w:rFonts w:cs="Arial"/>
          <w:sz w:val="22"/>
          <w:szCs w:val="22"/>
        </w:rPr>
        <w:t>Änderungen</w:t>
      </w:r>
      <w:r w:rsidR="0056612D">
        <w:rPr>
          <w:rFonts w:cs="Arial"/>
          <w:sz w:val="22"/>
          <w:szCs w:val="22"/>
        </w:rPr>
        <w:t xml:space="preserve"> anfallenden Bauabfälle werden vor Ort wiederverwendet oder fachgerecht entsorgt. </w:t>
      </w:r>
    </w:p>
    <w:p w:rsidR="00CF6705" w:rsidRDefault="00CF6705" w:rsidP="00480A99">
      <w:pPr>
        <w:rPr>
          <w:rFonts w:cs="Arial"/>
          <w:b/>
          <w:sz w:val="22"/>
          <w:szCs w:val="22"/>
        </w:rPr>
      </w:pPr>
    </w:p>
    <w:p w:rsidR="00480A99" w:rsidRPr="00B86249" w:rsidRDefault="0056612D" w:rsidP="00937EAB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4.5 </w:t>
      </w:r>
      <w:r w:rsidR="00480A99" w:rsidRPr="00B86249">
        <w:rPr>
          <w:rFonts w:cs="Arial"/>
          <w:b/>
          <w:sz w:val="22"/>
          <w:szCs w:val="22"/>
        </w:rPr>
        <w:t>Lärmschutz</w:t>
      </w:r>
      <w:r w:rsidR="00480A99" w:rsidRPr="00B86249">
        <w:rPr>
          <w:rFonts w:cs="Arial"/>
          <w:sz w:val="22"/>
          <w:szCs w:val="22"/>
        </w:rPr>
        <w:t xml:space="preserve"> </w:t>
      </w:r>
    </w:p>
    <w:p w:rsidR="00DA158B" w:rsidRPr="00B86249" w:rsidRDefault="00DA158B" w:rsidP="00480A99">
      <w:pPr>
        <w:rPr>
          <w:rFonts w:cs="Arial"/>
          <w:sz w:val="22"/>
          <w:szCs w:val="22"/>
        </w:rPr>
      </w:pPr>
      <w:r w:rsidRPr="00B86249">
        <w:rPr>
          <w:rFonts w:cs="Arial"/>
          <w:sz w:val="22"/>
          <w:szCs w:val="22"/>
        </w:rPr>
        <w:t xml:space="preserve">Durch die </w:t>
      </w:r>
      <w:r w:rsidR="004245A9" w:rsidRPr="00B86249">
        <w:rPr>
          <w:rFonts w:cs="Arial"/>
          <w:sz w:val="22"/>
          <w:szCs w:val="22"/>
        </w:rPr>
        <w:t xml:space="preserve">in der </w:t>
      </w:r>
      <w:r w:rsidRPr="00B86249">
        <w:rPr>
          <w:rFonts w:cs="Arial"/>
          <w:sz w:val="22"/>
          <w:szCs w:val="22"/>
        </w:rPr>
        <w:t xml:space="preserve">Schalltechnische </w:t>
      </w:r>
      <w:r w:rsidR="000173F7" w:rsidRPr="00B86249">
        <w:rPr>
          <w:rFonts w:cs="Arial"/>
          <w:sz w:val="22"/>
          <w:szCs w:val="22"/>
        </w:rPr>
        <w:t>Prognose</w:t>
      </w:r>
      <w:r w:rsidRPr="00B86249">
        <w:rPr>
          <w:rFonts w:cs="Arial"/>
          <w:sz w:val="22"/>
          <w:szCs w:val="22"/>
        </w:rPr>
        <w:t xml:space="preserve"> vom 0</w:t>
      </w:r>
      <w:r w:rsidR="000173F7" w:rsidRPr="00B86249">
        <w:rPr>
          <w:rFonts w:cs="Arial"/>
          <w:sz w:val="22"/>
          <w:szCs w:val="22"/>
        </w:rPr>
        <w:t>9</w:t>
      </w:r>
      <w:r w:rsidRPr="00B86249">
        <w:rPr>
          <w:rFonts w:cs="Arial"/>
          <w:sz w:val="22"/>
          <w:szCs w:val="22"/>
        </w:rPr>
        <w:t>.</w:t>
      </w:r>
      <w:r w:rsidR="000173F7" w:rsidRPr="00B86249">
        <w:rPr>
          <w:rFonts w:cs="Arial"/>
          <w:sz w:val="22"/>
          <w:szCs w:val="22"/>
        </w:rPr>
        <w:t>10</w:t>
      </w:r>
      <w:r w:rsidRPr="00B86249">
        <w:rPr>
          <w:rFonts w:cs="Arial"/>
          <w:sz w:val="22"/>
          <w:szCs w:val="22"/>
        </w:rPr>
        <w:t>.2017 der Firma Müller-BBM</w:t>
      </w:r>
      <w:r w:rsidR="004245A9" w:rsidRPr="00B86249">
        <w:rPr>
          <w:rFonts w:cs="Arial"/>
          <w:sz w:val="22"/>
          <w:szCs w:val="22"/>
        </w:rPr>
        <w:t xml:space="preserve"> auf</w:t>
      </w:r>
      <w:r w:rsidR="00415082">
        <w:rPr>
          <w:rFonts w:cs="Arial"/>
          <w:sz w:val="22"/>
          <w:szCs w:val="22"/>
        </w:rPr>
        <w:t>geführten Schallschutzmaßnahmen</w:t>
      </w:r>
      <w:r w:rsidRPr="00B86249">
        <w:rPr>
          <w:rFonts w:cs="Arial"/>
          <w:sz w:val="22"/>
          <w:szCs w:val="22"/>
        </w:rPr>
        <w:t xml:space="preserve"> </w:t>
      </w:r>
      <w:r w:rsidR="00480A99" w:rsidRPr="00B86249">
        <w:rPr>
          <w:rFonts w:cs="Arial"/>
          <w:sz w:val="22"/>
          <w:szCs w:val="22"/>
        </w:rPr>
        <w:t xml:space="preserve">wird </w:t>
      </w:r>
      <w:r w:rsidR="00415082">
        <w:rPr>
          <w:rFonts w:cs="Arial"/>
          <w:sz w:val="22"/>
          <w:szCs w:val="22"/>
        </w:rPr>
        <w:t>gewährleistet</w:t>
      </w:r>
      <w:r w:rsidR="00480A99" w:rsidRPr="00B86249">
        <w:rPr>
          <w:rFonts w:cs="Arial"/>
          <w:sz w:val="22"/>
          <w:szCs w:val="22"/>
        </w:rPr>
        <w:t xml:space="preserve">, dass keine zusätzlichen Belastungen durch Schallemissionen </w:t>
      </w:r>
      <w:r w:rsidRPr="00B86249">
        <w:rPr>
          <w:rFonts w:cs="Arial"/>
          <w:sz w:val="22"/>
          <w:szCs w:val="22"/>
        </w:rPr>
        <w:t xml:space="preserve">bei Realisierung </w:t>
      </w:r>
      <w:r w:rsidR="004245A9" w:rsidRPr="00B86249">
        <w:rPr>
          <w:rFonts w:cs="Arial"/>
          <w:sz w:val="22"/>
          <w:szCs w:val="22"/>
        </w:rPr>
        <w:t>zu</w:t>
      </w:r>
      <w:r w:rsidR="00514CB9" w:rsidRPr="00B86249">
        <w:rPr>
          <w:sz w:val="22"/>
          <w:szCs w:val="22"/>
        </w:rPr>
        <w:t xml:space="preserve"> </w:t>
      </w:r>
      <w:r w:rsidR="00480A99" w:rsidRPr="00B86249">
        <w:rPr>
          <w:rFonts w:cs="Arial"/>
          <w:sz w:val="22"/>
          <w:szCs w:val="22"/>
        </w:rPr>
        <w:t>besorgen sind</w:t>
      </w:r>
      <w:r w:rsidRPr="00B86249">
        <w:rPr>
          <w:rFonts w:cs="Arial"/>
          <w:sz w:val="22"/>
          <w:szCs w:val="22"/>
        </w:rPr>
        <w:t>.</w:t>
      </w:r>
      <w:r w:rsidR="0056612D" w:rsidRPr="00B86249">
        <w:rPr>
          <w:rFonts w:cs="Arial"/>
          <w:sz w:val="22"/>
          <w:szCs w:val="22"/>
        </w:rPr>
        <w:t xml:space="preserve"> </w:t>
      </w:r>
      <w:r w:rsidR="005929D7">
        <w:rPr>
          <w:rFonts w:cs="Arial"/>
          <w:sz w:val="22"/>
          <w:szCs w:val="22"/>
        </w:rPr>
        <w:t xml:space="preserve">Diese Änderung </w:t>
      </w:r>
      <w:r w:rsidR="00BE6ED5">
        <w:rPr>
          <w:rFonts w:cs="Arial"/>
          <w:sz w:val="22"/>
          <w:szCs w:val="22"/>
        </w:rPr>
        <w:t xml:space="preserve">lässt ebenfalls </w:t>
      </w:r>
      <w:r w:rsidR="005929D7">
        <w:rPr>
          <w:rFonts w:cs="Arial"/>
          <w:sz w:val="22"/>
          <w:szCs w:val="22"/>
        </w:rPr>
        <w:t xml:space="preserve">keine </w:t>
      </w:r>
      <w:r w:rsidR="00BE6ED5">
        <w:rPr>
          <w:rFonts w:cs="Arial"/>
          <w:sz w:val="22"/>
          <w:szCs w:val="22"/>
        </w:rPr>
        <w:t>zusätzlichen</w:t>
      </w:r>
      <w:r w:rsidR="005929D7">
        <w:rPr>
          <w:rFonts w:cs="Arial"/>
          <w:sz w:val="22"/>
          <w:szCs w:val="22"/>
        </w:rPr>
        <w:t xml:space="preserve"> Belastungen </w:t>
      </w:r>
      <w:r w:rsidR="00BE6ED5">
        <w:rPr>
          <w:rFonts w:cs="Arial"/>
          <w:sz w:val="22"/>
          <w:szCs w:val="22"/>
        </w:rPr>
        <w:t>besorgen</w:t>
      </w:r>
      <w:r w:rsidR="005929D7">
        <w:rPr>
          <w:rFonts w:cs="Arial"/>
          <w:sz w:val="22"/>
          <w:szCs w:val="22"/>
        </w:rPr>
        <w:t>.</w:t>
      </w:r>
    </w:p>
    <w:p w:rsidR="00937EAB" w:rsidRDefault="00937EAB" w:rsidP="00480A99">
      <w:pPr>
        <w:rPr>
          <w:rFonts w:cs="Arial"/>
          <w:b/>
          <w:sz w:val="22"/>
          <w:szCs w:val="22"/>
        </w:rPr>
      </w:pPr>
    </w:p>
    <w:p w:rsidR="0056612D" w:rsidRPr="0056612D" w:rsidRDefault="009E1516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4.6 </w:t>
      </w:r>
      <w:r w:rsidR="0056612D" w:rsidRPr="0056612D">
        <w:rPr>
          <w:rFonts w:cs="Arial"/>
          <w:b/>
          <w:sz w:val="22"/>
          <w:szCs w:val="22"/>
        </w:rPr>
        <w:t>Wasser und Abwasser</w:t>
      </w:r>
    </w:p>
    <w:p w:rsidR="0056612D" w:rsidRDefault="0056612D" w:rsidP="0056612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Es fällt Abwasser ausschließlich in Form von Niederschlagswasser an. Das Wasser wird von der Dachfläche in das Abwassersystem der bereits versiegelten Flächen eingeleitet.</w:t>
      </w:r>
    </w:p>
    <w:p w:rsidR="0056612D" w:rsidRDefault="0056612D" w:rsidP="00480A99">
      <w:pPr>
        <w:rPr>
          <w:rFonts w:cs="Arial"/>
          <w:sz w:val="22"/>
          <w:szCs w:val="22"/>
        </w:rPr>
      </w:pPr>
    </w:p>
    <w:p w:rsidR="0056612D" w:rsidRDefault="0056612D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</w:t>
      </w:r>
      <w:r w:rsidR="009E1516">
        <w:rPr>
          <w:rFonts w:cs="Arial"/>
          <w:b/>
          <w:sz w:val="22"/>
          <w:szCs w:val="22"/>
        </w:rPr>
        <w:t>7</w:t>
      </w:r>
      <w:r>
        <w:rPr>
          <w:rFonts w:cs="Arial"/>
          <w:b/>
          <w:sz w:val="22"/>
          <w:szCs w:val="22"/>
        </w:rPr>
        <w:t xml:space="preserve"> Risiken (Störfälle, Katastrophen)</w:t>
      </w:r>
    </w:p>
    <w:p w:rsidR="0056612D" w:rsidRDefault="0056612D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Gebäude wird gemäß den</w:t>
      </w:r>
      <w:r w:rsidR="00514CB9">
        <w:rPr>
          <w:rFonts w:cs="Arial"/>
          <w:sz w:val="22"/>
          <w:szCs w:val="22"/>
        </w:rPr>
        <w:t xml:space="preserve"> Sicherheitsvorschriften gebaut und unterliegt nicht der Störfallverordnung.</w:t>
      </w:r>
    </w:p>
    <w:p w:rsidR="00B86249" w:rsidRDefault="00B86249" w:rsidP="00480A99">
      <w:pPr>
        <w:rPr>
          <w:rFonts w:cs="Arial"/>
          <w:sz w:val="22"/>
          <w:szCs w:val="22"/>
        </w:rPr>
      </w:pPr>
    </w:p>
    <w:p w:rsidR="00B86249" w:rsidRDefault="00B86249" w:rsidP="00480A99">
      <w:pPr>
        <w:rPr>
          <w:rFonts w:cs="Arial"/>
          <w:sz w:val="22"/>
          <w:szCs w:val="22"/>
        </w:rPr>
      </w:pPr>
    </w:p>
    <w:p w:rsidR="00B86249" w:rsidRPr="0056612D" w:rsidRDefault="00B86249" w:rsidP="00480A99">
      <w:pPr>
        <w:rPr>
          <w:rFonts w:cs="Arial"/>
          <w:sz w:val="22"/>
          <w:szCs w:val="22"/>
        </w:rPr>
      </w:pPr>
    </w:p>
    <w:p w:rsidR="0056612D" w:rsidRDefault="0056612D" w:rsidP="00480A99">
      <w:pPr>
        <w:rPr>
          <w:rFonts w:cs="Arial"/>
          <w:b/>
          <w:sz w:val="22"/>
          <w:szCs w:val="22"/>
        </w:rPr>
      </w:pPr>
    </w:p>
    <w:p w:rsidR="0028660B" w:rsidRDefault="0028660B" w:rsidP="00480A99">
      <w:pPr>
        <w:rPr>
          <w:rFonts w:cs="Arial"/>
          <w:b/>
          <w:sz w:val="22"/>
          <w:szCs w:val="22"/>
        </w:rPr>
      </w:pPr>
    </w:p>
    <w:p w:rsidR="00480A99" w:rsidRDefault="0056612D" w:rsidP="00480A99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 </w:t>
      </w:r>
      <w:r w:rsidR="00480A99">
        <w:rPr>
          <w:rFonts w:cs="Arial"/>
          <w:b/>
          <w:sz w:val="22"/>
          <w:szCs w:val="22"/>
        </w:rPr>
        <w:t>Ergebnis der Vorprüfung</w:t>
      </w:r>
    </w:p>
    <w:p w:rsidR="00480A99" w:rsidRDefault="00480A99" w:rsidP="00480A99">
      <w:pPr>
        <w:rPr>
          <w:rFonts w:cs="Arial"/>
          <w:sz w:val="22"/>
          <w:szCs w:val="22"/>
        </w:rPr>
      </w:pP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Aus den vorgenannten Umständen wird abgeleitet, dass durch das Vorhaben keine erheblichen nachteiligen Umwel</w:t>
      </w:r>
      <w:r w:rsidR="0056612D">
        <w:rPr>
          <w:rFonts w:cs="Arial"/>
          <w:sz w:val="22"/>
          <w:szCs w:val="22"/>
        </w:rPr>
        <w:t>tauswirkungen zu erwarten sind.</w:t>
      </w: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Aufgrund dieser überschlägigen Prüfung führt unsere Einschätzung als zuständige Behörde zu der Feststellung, dass eine Umweltverträglichkeitsprüfung </w:t>
      </w:r>
      <w:r>
        <w:rPr>
          <w:rFonts w:cs="Arial"/>
          <w:b/>
          <w:sz w:val="22"/>
          <w:szCs w:val="22"/>
        </w:rPr>
        <w:t>nicht erforderlich</w:t>
      </w:r>
      <w:r>
        <w:rPr>
          <w:rFonts w:cs="Arial"/>
          <w:sz w:val="22"/>
          <w:szCs w:val="22"/>
        </w:rPr>
        <w:t xml:space="preserve"> ist. </w:t>
      </w:r>
    </w:p>
    <w:p w:rsidR="00480A99" w:rsidRDefault="00480A99" w:rsidP="00480A99">
      <w:pPr>
        <w:rPr>
          <w:rFonts w:cs="Arial"/>
          <w:sz w:val="22"/>
          <w:szCs w:val="22"/>
        </w:rPr>
      </w:pPr>
    </w:p>
    <w:p w:rsidR="00480A99" w:rsidRDefault="00480A99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Diese Feststellung ist nicht selbständig anfechtbar. </w:t>
      </w:r>
    </w:p>
    <w:p w:rsidR="00480A99" w:rsidRDefault="0099590E" w:rsidP="00480A9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 wird über die Homepage bei der Gewerbeaufsicht des Landes Bremen bekannt gemacht</w:t>
      </w: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480A99" w:rsidP="00480A99">
      <w:pPr>
        <w:rPr>
          <w:rFonts w:cs="Arial"/>
          <w:b/>
          <w:bCs/>
          <w:kern w:val="36"/>
          <w:sz w:val="22"/>
          <w:szCs w:val="22"/>
        </w:rPr>
      </w:pPr>
    </w:p>
    <w:p w:rsidR="00480A99" w:rsidRDefault="005929D7" w:rsidP="00480A99">
      <w:pPr>
        <w:rPr>
          <w:rFonts w:cs="Arial"/>
          <w:b/>
          <w:bCs/>
          <w:kern w:val="36"/>
          <w:sz w:val="22"/>
          <w:szCs w:val="22"/>
        </w:rPr>
      </w:pPr>
      <w:r>
        <w:rPr>
          <w:rFonts w:cs="Arial"/>
          <w:b/>
          <w:bCs/>
          <w:kern w:val="36"/>
          <w:sz w:val="22"/>
          <w:szCs w:val="22"/>
        </w:rPr>
        <w:t>Rüdiger Wedell</w:t>
      </w:r>
    </w:p>
    <w:p w:rsidR="00480A99" w:rsidRDefault="00480A99" w:rsidP="00480A99">
      <w:pPr>
        <w:rPr>
          <w:sz w:val="22"/>
          <w:szCs w:val="22"/>
        </w:rPr>
      </w:pPr>
    </w:p>
    <w:p w:rsidR="00480A99" w:rsidRDefault="00480A99" w:rsidP="00480A99">
      <w:pPr>
        <w:rPr>
          <w:sz w:val="22"/>
          <w:szCs w:val="22"/>
        </w:rPr>
      </w:pPr>
    </w:p>
    <w:p w:rsidR="00480A99" w:rsidRDefault="00480A99" w:rsidP="00480A99"/>
    <w:p w:rsidR="00480A99" w:rsidRPr="00240726" w:rsidRDefault="00480A99" w:rsidP="00480A99"/>
    <w:p w:rsidR="00480A99" w:rsidRPr="00E61485" w:rsidRDefault="00480A99" w:rsidP="00480A99"/>
    <w:p w:rsidR="00882EE0" w:rsidRDefault="00882EE0"/>
    <w:sectPr w:rsidR="00882EE0">
      <w:headerReference w:type="default" r:id="rId8"/>
      <w:headerReference w:type="first" r:id="rId9"/>
      <w:footerReference w:type="first" r:id="rId10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9E" w:rsidRDefault="00467B9E">
      <w:r>
        <w:separator/>
      </w:r>
    </w:p>
  </w:endnote>
  <w:endnote w:type="continuationSeparator" w:id="0">
    <w:p w:rsidR="00467B9E" w:rsidRDefault="0046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480A99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85509A">
      <w:rPr>
        <w:noProof/>
      </w:rPr>
      <w:t>21.01.20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B74324">
      <w:rPr>
        <w:noProof/>
        <w:snapToGrid w:val="0"/>
      </w:rPr>
      <w:t>Daimler Parkhaus Halle80.docx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9E" w:rsidRDefault="00467B9E">
      <w:r>
        <w:separator/>
      </w:r>
    </w:p>
  </w:footnote>
  <w:footnote w:type="continuationSeparator" w:id="0">
    <w:p w:rsidR="00467B9E" w:rsidRDefault="00467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480A99">
    <w:pPr>
      <w:pStyle w:val="Kopfzeile"/>
      <w:tabs>
        <w:tab w:val="clear" w:pos="4536"/>
      </w:tabs>
      <w:ind w:right="36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467B9E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6.6pt;margin-top:-.95pt;width:23.55pt;height:31.8pt;z-index:251659264" o:allowincell="f" fillcolor="window">
                <v:imagedata r:id="rId1" o:title=""/>
              </v:shape>
              <o:OLEObject Type="Embed" ProgID="Word.Picture.8" ShapeID="_x0000_s2049" DrawAspect="Content" ObjectID="_1641126052" r:id="rId2"/>
            </w:object>
          </w:r>
          <w:r w:rsidR="00480A99">
            <w:rPr>
              <w:b/>
            </w:rPr>
            <w:t>Gewerbeaufsicht des Landes Bremen</w:t>
          </w:r>
          <w:r w:rsidR="00480A99">
            <w:rPr>
              <w:b/>
            </w:rPr>
            <w:br/>
            <w:t>-</w:t>
          </w:r>
          <w:r w:rsidR="00480A99">
            <w:t>Arbeits- und Immissionsschutzbehörde-</w:t>
          </w:r>
          <w:r w:rsidR="00480A99">
            <w:rPr>
              <w:i/>
            </w:rPr>
            <w:br/>
          </w:r>
        </w:p>
      </w:tc>
      <w:tc>
        <w:tcPr>
          <w:tcW w:w="3402" w:type="dxa"/>
        </w:tcPr>
        <w:p w:rsidR="005578AF" w:rsidRDefault="00480A99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480A99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85509A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85509A">
      <w:rPr>
        <w:noProof/>
        <w:snapToGrid w:val="0"/>
      </w:rPr>
      <w:t>1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7EC8"/>
    <w:multiLevelType w:val="hybridMultilevel"/>
    <w:tmpl w:val="339C509A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0B721CC"/>
    <w:multiLevelType w:val="hybridMultilevel"/>
    <w:tmpl w:val="AD2CF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A91"/>
    <w:multiLevelType w:val="hybridMultilevel"/>
    <w:tmpl w:val="19343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050D"/>
    <w:multiLevelType w:val="hybridMultilevel"/>
    <w:tmpl w:val="F1CCB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4FE5"/>
    <w:multiLevelType w:val="multilevel"/>
    <w:tmpl w:val="D3E0DBB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7A5E68"/>
    <w:multiLevelType w:val="hybridMultilevel"/>
    <w:tmpl w:val="DA42D236"/>
    <w:lvl w:ilvl="0" w:tplc="F3BAE8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56DC2"/>
    <w:multiLevelType w:val="hybridMultilevel"/>
    <w:tmpl w:val="6660D0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16837"/>
    <w:multiLevelType w:val="hybridMultilevel"/>
    <w:tmpl w:val="80F2244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8A"/>
    <w:rsid w:val="000173F7"/>
    <w:rsid w:val="00083920"/>
    <w:rsid w:val="000941F9"/>
    <w:rsid w:val="00097DC0"/>
    <w:rsid w:val="000A32DF"/>
    <w:rsid w:val="000A4DDB"/>
    <w:rsid w:val="000A51AE"/>
    <w:rsid w:val="000C4AFC"/>
    <w:rsid w:val="000E3CF7"/>
    <w:rsid w:val="000E4F9B"/>
    <w:rsid w:val="000F305C"/>
    <w:rsid w:val="0016048B"/>
    <w:rsid w:val="001659E7"/>
    <w:rsid w:val="001E069A"/>
    <w:rsid w:val="001F2F09"/>
    <w:rsid w:val="00212B51"/>
    <w:rsid w:val="0028660B"/>
    <w:rsid w:val="0033311A"/>
    <w:rsid w:val="0035440A"/>
    <w:rsid w:val="003736B1"/>
    <w:rsid w:val="003B1459"/>
    <w:rsid w:val="003D054E"/>
    <w:rsid w:val="00415082"/>
    <w:rsid w:val="004245A9"/>
    <w:rsid w:val="00467B9E"/>
    <w:rsid w:val="00480A99"/>
    <w:rsid w:val="004B3599"/>
    <w:rsid w:val="004F2DD3"/>
    <w:rsid w:val="00514CB9"/>
    <w:rsid w:val="00546483"/>
    <w:rsid w:val="0056612D"/>
    <w:rsid w:val="005929D7"/>
    <w:rsid w:val="005C139E"/>
    <w:rsid w:val="005E35A2"/>
    <w:rsid w:val="005F4FBC"/>
    <w:rsid w:val="00602EAF"/>
    <w:rsid w:val="00617906"/>
    <w:rsid w:val="00626A8E"/>
    <w:rsid w:val="00660AE4"/>
    <w:rsid w:val="006C39CA"/>
    <w:rsid w:val="006D4747"/>
    <w:rsid w:val="006D503D"/>
    <w:rsid w:val="007325E7"/>
    <w:rsid w:val="007A0A78"/>
    <w:rsid w:val="007B44CD"/>
    <w:rsid w:val="007D7651"/>
    <w:rsid w:val="007F3D63"/>
    <w:rsid w:val="008056EA"/>
    <w:rsid w:val="00842C3E"/>
    <w:rsid w:val="0085509A"/>
    <w:rsid w:val="00882EE0"/>
    <w:rsid w:val="00892121"/>
    <w:rsid w:val="008A74F4"/>
    <w:rsid w:val="008F18A2"/>
    <w:rsid w:val="009159A2"/>
    <w:rsid w:val="009168F0"/>
    <w:rsid w:val="00937EAB"/>
    <w:rsid w:val="00945B8C"/>
    <w:rsid w:val="00946F0B"/>
    <w:rsid w:val="00960028"/>
    <w:rsid w:val="0099590E"/>
    <w:rsid w:val="00997B5C"/>
    <w:rsid w:val="009B0498"/>
    <w:rsid w:val="009C2F19"/>
    <w:rsid w:val="009D44E3"/>
    <w:rsid w:val="009E0426"/>
    <w:rsid w:val="009E1516"/>
    <w:rsid w:val="00A02539"/>
    <w:rsid w:val="00A6133E"/>
    <w:rsid w:val="00A6581B"/>
    <w:rsid w:val="00B74324"/>
    <w:rsid w:val="00B86249"/>
    <w:rsid w:val="00BD74E6"/>
    <w:rsid w:val="00BE198A"/>
    <w:rsid w:val="00BE6ED5"/>
    <w:rsid w:val="00C12358"/>
    <w:rsid w:val="00C1660B"/>
    <w:rsid w:val="00C455BC"/>
    <w:rsid w:val="00C55793"/>
    <w:rsid w:val="00C65369"/>
    <w:rsid w:val="00CC6004"/>
    <w:rsid w:val="00CF6705"/>
    <w:rsid w:val="00D722FD"/>
    <w:rsid w:val="00D76455"/>
    <w:rsid w:val="00D81282"/>
    <w:rsid w:val="00DA158B"/>
    <w:rsid w:val="00DB3445"/>
    <w:rsid w:val="00DC022C"/>
    <w:rsid w:val="00DD04D2"/>
    <w:rsid w:val="00DE56ED"/>
    <w:rsid w:val="00E25CAC"/>
    <w:rsid w:val="00E378C9"/>
    <w:rsid w:val="00E44973"/>
    <w:rsid w:val="00E74A9A"/>
    <w:rsid w:val="00EA7C6A"/>
    <w:rsid w:val="00EF4047"/>
    <w:rsid w:val="00F32882"/>
    <w:rsid w:val="00FB40C8"/>
    <w:rsid w:val="00FF05BD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31CEA2-2A20-408C-8092-D182F41D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80A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80A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80A99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480A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80A99"/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80A9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0A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0A9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0CBCA-660E-4D1B-8CD6-6AE28BCA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Bernhard.Meiners</dc:creator>
  <cp:lastModifiedBy>Hartig, Sandra (Gewerbeaufsicht des Landes Bremen)</cp:lastModifiedBy>
  <cp:revision>2</cp:revision>
  <cp:lastPrinted>2017-12-04T12:36:00Z</cp:lastPrinted>
  <dcterms:created xsi:type="dcterms:W3CDTF">2020-01-21T14:34:00Z</dcterms:created>
  <dcterms:modified xsi:type="dcterms:W3CDTF">2020-01-21T14:34:00Z</dcterms:modified>
</cp:coreProperties>
</file>