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36" w:rsidRPr="00946836" w:rsidRDefault="00946836" w:rsidP="00946836">
      <w:pPr>
        <w:pBdr>
          <w:top w:val="single" w:sz="4" w:space="1" w:color="auto"/>
          <w:left w:val="single" w:sz="4" w:space="4" w:color="auto"/>
          <w:bottom w:val="single" w:sz="4" w:space="1" w:color="auto"/>
          <w:right w:val="single" w:sz="4" w:space="4" w:color="auto"/>
        </w:pBdr>
        <w:spacing w:after="0" w:line="276" w:lineRule="auto"/>
        <w:jc w:val="center"/>
        <w:rPr>
          <w:rFonts w:ascii="Source Sans Pro" w:eastAsia="Times New Roman" w:hAnsi="Source Sans Pro" w:cs="Times New Roman"/>
          <w:sz w:val="24"/>
          <w:szCs w:val="24"/>
          <w:lang w:eastAsia="de-DE"/>
        </w:rPr>
      </w:pPr>
      <w:r w:rsidRPr="00946836">
        <w:rPr>
          <w:rFonts w:ascii="Source Sans Pro" w:eastAsia="Times New Roman" w:hAnsi="Source Sans Pro" w:cs="Times New Roman"/>
          <w:sz w:val="24"/>
          <w:szCs w:val="24"/>
          <w:lang w:eastAsia="de-DE"/>
        </w:rPr>
        <w:t>Ortsübliche Bekanntgabe</w:t>
      </w:r>
    </w:p>
    <w:p w:rsidR="00946836" w:rsidRPr="00946836" w:rsidRDefault="00946836" w:rsidP="00946836">
      <w:pPr>
        <w:autoSpaceDE w:val="0"/>
        <w:autoSpaceDN w:val="0"/>
        <w:spacing w:after="0" w:line="276" w:lineRule="auto"/>
        <w:jc w:val="both"/>
        <w:rPr>
          <w:rFonts w:ascii="Source Sans Pro" w:eastAsia="Times New Roman" w:hAnsi="Source Sans Pro" w:cs="Times New Roman"/>
          <w:sz w:val="20"/>
          <w:szCs w:val="20"/>
          <w:lang w:eastAsia="de-DE"/>
        </w:rPr>
      </w:pPr>
    </w:p>
    <w:p w:rsidR="00946836" w:rsidRPr="00946836" w:rsidRDefault="00946836" w:rsidP="00946836">
      <w:pPr>
        <w:autoSpaceDE w:val="0"/>
        <w:autoSpaceDN w:val="0"/>
        <w:spacing w:after="0" w:line="276" w:lineRule="auto"/>
        <w:jc w:val="both"/>
        <w:rPr>
          <w:rFonts w:ascii="Source Sans Pro" w:eastAsia="Times New Roman" w:hAnsi="Source Sans Pro" w:cs="Times New Roman"/>
          <w:sz w:val="20"/>
          <w:szCs w:val="20"/>
          <w:lang w:eastAsia="de-DE"/>
        </w:rPr>
      </w:pPr>
    </w:p>
    <w:p w:rsidR="00946836" w:rsidRPr="00946836" w:rsidRDefault="00946836" w:rsidP="00946836">
      <w:pPr>
        <w:autoSpaceDE w:val="0"/>
        <w:autoSpaceDN w:val="0"/>
        <w:spacing w:after="0" w:line="276" w:lineRule="auto"/>
        <w:jc w:val="both"/>
        <w:rPr>
          <w:rFonts w:ascii="Source Sans Pro" w:eastAsia="Times New Roman" w:hAnsi="Source Sans Pro" w:cs="Times New Roman"/>
          <w:b/>
          <w:sz w:val="20"/>
          <w:szCs w:val="20"/>
          <w:lang w:eastAsia="de-DE"/>
        </w:rPr>
      </w:pPr>
      <w:r w:rsidRPr="00946836">
        <w:rPr>
          <w:rFonts w:ascii="Source Sans Pro" w:eastAsia="Times New Roman" w:hAnsi="Source Sans Pro" w:cs="Times New Roman"/>
          <w:b/>
          <w:sz w:val="20"/>
          <w:szCs w:val="20"/>
          <w:lang w:eastAsia="de-DE"/>
        </w:rPr>
        <w:t>Vollzug der Wassergesetze;</w:t>
      </w:r>
    </w:p>
    <w:p w:rsidR="00946836" w:rsidRPr="00946836" w:rsidRDefault="00946836" w:rsidP="00946836">
      <w:pPr>
        <w:autoSpaceDE w:val="0"/>
        <w:autoSpaceDN w:val="0"/>
        <w:spacing w:after="0" w:line="276" w:lineRule="auto"/>
        <w:rPr>
          <w:rFonts w:ascii="Source Sans Pro" w:eastAsia="Times New Roman" w:hAnsi="Source Sans Pro" w:cs="Times New Roman"/>
          <w:b/>
          <w:sz w:val="20"/>
          <w:szCs w:val="20"/>
          <w:lang w:eastAsia="de-DE"/>
        </w:rPr>
      </w:pPr>
      <w:r w:rsidRPr="00946836">
        <w:rPr>
          <w:rFonts w:ascii="Source Sans Pro" w:eastAsia="Times New Roman" w:hAnsi="Source Sans Pro" w:cs="Times New Roman"/>
          <w:b/>
          <w:sz w:val="20"/>
          <w:szCs w:val="20"/>
          <w:lang w:eastAsia="de-DE"/>
        </w:rPr>
        <w:t>Hochwasserschutzmaßnahmen „Bühl-Mitte“</w:t>
      </w:r>
    </w:p>
    <w:p w:rsidR="00946836" w:rsidRPr="00946836" w:rsidRDefault="00946836" w:rsidP="00946836">
      <w:pPr>
        <w:autoSpaceDE w:val="0"/>
        <w:autoSpaceDN w:val="0"/>
        <w:spacing w:after="0" w:line="276" w:lineRule="auto"/>
        <w:rPr>
          <w:rFonts w:ascii="Source Sans Pro" w:eastAsia="Times New Roman" w:hAnsi="Source Sans Pro" w:cs="Times New Roman"/>
          <w:b/>
          <w:sz w:val="20"/>
          <w:szCs w:val="20"/>
          <w:lang w:eastAsia="de-DE"/>
        </w:rPr>
      </w:pPr>
      <w:r w:rsidRPr="00946836">
        <w:rPr>
          <w:rFonts w:ascii="Source Sans Pro" w:eastAsia="Times New Roman" w:hAnsi="Source Sans Pro" w:cs="Times New Roman"/>
          <w:b/>
          <w:sz w:val="20"/>
          <w:szCs w:val="20"/>
          <w:lang w:eastAsia="de-DE"/>
        </w:rPr>
        <w:t>Antragstellerin: Stadt Immenstadt</w:t>
      </w:r>
    </w:p>
    <w:p w:rsidR="00946836" w:rsidRPr="00946836" w:rsidRDefault="00946836" w:rsidP="00946836">
      <w:pPr>
        <w:autoSpaceDE w:val="0"/>
        <w:autoSpaceDN w:val="0"/>
        <w:spacing w:after="0" w:line="276" w:lineRule="auto"/>
        <w:rPr>
          <w:rFonts w:ascii="Source Sans Pro" w:eastAsia="Times New Roman" w:hAnsi="Source Sans Pro" w:cs="Times New Roman"/>
          <w:sz w:val="20"/>
          <w:szCs w:val="20"/>
          <w:lang w:eastAsia="de-DE"/>
        </w:rPr>
      </w:pPr>
    </w:p>
    <w:p w:rsidR="00946836" w:rsidRPr="00946836" w:rsidRDefault="00946836" w:rsidP="00946836">
      <w:pPr>
        <w:autoSpaceDE w:val="0"/>
        <w:autoSpaceDN w:val="0"/>
        <w:spacing w:after="0" w:line="276" w:lineRule="auto"/>
        <w:rPr>
          <w:rFonts w:ascii="Source Sans Pro" w:eastAsia="Times New Roman" w:hAnsi="Source Sans Pro" w:cs="Times New Roman"/>
          <w:sz w:val="20"/>
          <w:szCs w:val="20"/>
          <w:lang w:eastAsia="de-DE"/>
        </w:rPr>
      </w:pPr>
    </w:p>
    <w:p w:rsidR="00946836" w:rsidRPr="00946836" w:rsidRDefault="00946836" w:rsidP="00946836">
      <w:pPr>
        <w:numPr>
          <w:ilvl w:val="0"/>
          <w:numId w:val="1"/>
        </w:numPr>
        <w:autoSpaceDE w:val="0"/>
        <w:autoSpaceDN w:val="0"/>
        <w:spacing w:after="0" w:line="276" w:lineRule="auto"/>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Die Stadt Immenstadt beantragte beim Landratsamt Oberallgäu die Durchführung eines Planfeststellungsverfahrens für gewässerbauliche Maßnahmen (§ 67 Abs. 2 und § 68 Wasserhaushaltsgesetz) im Ortsteils Bühl am Alpsee, Bereich Konstanzer Ach.</w:t>
      </w:r>
    </w:p>
    <w:p w:rsidR="00946836" w:rsidRPr="00946836" w:rsidRDefault="00946836" w:rsidP="00946836">
      <w:pPr>
        <w:autoSpaceDE w:val="0"/>
        <w:autoSpaceDN w:val="0"/>
        <w:spacing w:after="0" w:line="276" w:lineRule="auto"/>
        <w:ind w:left="720"/>
        <w:jc w:val="both"/>
        <w:rPr>
          <w:rFonts w:ascii="Source Sans Pro" w:eastAsia="Times New Roman" w:hAnsi="Source Sans Pro" w:cs="Times New Roman"/>
          <w:sz w:val="20"/>
          <w:szCs w:val="20"/>
          <w:lang w:eastAsia="de-DE"/>
        </w:rPr>
      </w:pPr>
    </w:p>
    <w:p w:rsidR="00946836" w:rsidRPr="00946836" w:rsidRDefault="00946836" w:rsidP="00946836">
      <w:pPr>
        <w:autoSpaceDE w:val="0"/>
        <w:autoSpaceDN w:val="0"/>
        <w:spacing w:after="0" w:line="276" w:lineRule="auto"/>
        <w:ind w:left="720"/>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Im Rahmen der Verbesserung des Hochwasserschutz Bühl-Mitte und der Verlegung der Seestraße zum Großen Alpsee sind folgende wasserbaulichen Maßnahmen geplant:</w:t>
      </w:r>
    </w:p>
    <w:p w:rsidR="00946836" w:rsidRPr="00946836" w:rsidRDefault="00946836" w:rsidP="00946836">
      <w:pPr>
        <w:numPr>
          <w:ilvl w:val="0"/>
          <w:numId w:val="3"/>
        </w:numPr>
        <w:autoSpaceDE w:val="0"/>
        <w:autoSpaceDN w:val="0"/>
        <w:spacing w:after="0" w:line="276" w:lineRule="auto"/>
        <w:contextualSpacing/>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Hochwasserschutz für das Gelände für ein geplantes Mitarbeiterhaus</w:t>
      </w:r>
    </w:p>
    <w:p w:rsidR="00946836" w:rsidRPr="00946836" w:rsidRDefault="00946836" w:rsidP="00946836">
      <w:pPr>
        <w:numPr>
          <w:ilvl w:val="0"/>
          <w:numId w:val="3"/>
        </w:numPr>
        <w:autoSpaceDE w:val="0"/>
        <w:autoSpaceDN w:val="0"/>
        <w:spacing w:after="0" w:line="276" w:lineRule="auto"/>
        <w:contextualSpacing/>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Hochwasserschutz für das Gelände am „Alpseehaus“</w:t>
      </w:r>
    </w:p>
    <w:p w:rsidR="00946836" w:rsidRPr="00946836" w:rsidRDefault="00946836" w:rsidP="00946836">
      <w:pPr>
        <w:numPr>
          <w:ilvl w:val="0"/>
          <w:numId w:val="3"/>
        </w:numPr>
        <w:autoSpaceDE w:val="0"/>
        <w:autoSpaceDN w:val="0"/>
        <w:spacing w:after="0" w:line="276" w:lineRule="auto"/>
        <w:contextualSpacing/>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Hochwasserschutz für das Gelände am „Alpseebiergarten“</w:t>
      </w:r>
    </w:p>
    <w:p w:rsidR="00946836" w:rsidRPr="00946836" w:rsidRDefault="00946836" w:rsidP="00946836">
      <w:pPr>
        <w:numPr>
          <w:ilvl w:val="0"/>
          <w:numId w:val="3"/>
        </w:numPr>
        <w:autoSpaceDE w:val="0"/>
        <w:autoSpaceDN w:val="0"/>
        <w:spacing w:after="0" w:line="276" w:lineRule="auto"/>
        <w:contextualSpacing/>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Hochlegung des Badeweges</w:t>
      </w:r>
    </w:p>
    <w:p w:rsidR="00946836" w:rsidRPr="00946836" w:rsidRDefault="00946836" w:rsidP="00946836">
      <w:pPr>
        <w:numPr>
          <w:ilvl w:val="0"/>
          <w:numId w:val="3"/>
        </w:numPr>
        <w:autoSpaceDE w:val="0"/>
        <w:autoSpaceDN w:val="0"/>
        <w:spacing w:after="0" w:line="276" w:lineRule="auto"/>
        <w:contextualSpacing/>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 xml:space="preserve">Schaffung von Retentionsraum </w:t>
      </w:r>
    </w:p>
    <w:p w:rsidR="00946836" w:rsidRPr="00946836" w:rsidRDefault="00946836" w:rsidP="00946836">
      <w:pPr>
        <w:autoSpaceDE w:val="0"/>
        <w:autoSpaceDN w:val="0"/>
        <w:spacing w:after="0" w:line="276" w:lineRule="auto"/>
        <w:ind w:left="720"/>
        <w:jc w:val="both"/>
        <w:rPr>
          <w:rFonts w:ascii="Source Sans Pro" w:eastAsia="Times New Roman" w:hAnsi="Source Sans Pro" w:cs="Times New Roman"/>
          <w:sz w:val="20"/>
          <w:szCs w:val="20"/>
          <w:lang w:eastAsia="de-DE"/>
        </w:rPr>
      </w:pPr>
    </w:p>
    <w:p w:rsidR="00946836" w:rsidRPr="00946836" w:rsidRDefault="00946836" w:rsidP="00946836">
      <w:pPr>
        <w:autoSpaceDE w:val="0"/>
        <w:autoSpaceDN w:val="0"/>
        <w:spacing w:after="0" w:line="276" w:lineRule="auto"/>
        <w:ind w:left="720"/>
        <w:jc w:val="both"/>
        <w:rPr>
          <w:rFonts w:ascii="Source Sans Pro" w:eastAsia="Times New Roman" w:hAnsi="Source Sans Pro" w:cs="Times New Roman"/>
          <w:sz w:val="20"/>
          <w:szCs w:val="20"/>
          <w:lang w:eastAsia="de-DE"/>
        </w:rPr>
      </w:pPr>
    </w:p>
    <w:p w:rsidR="00946836" w:rsidRPr="00946836" w:rsidRDefault="00946836" w:rsidP="00946836">
      <w:pPr>
        <w:numPr>
          <w:ilvl w:val="0"/>
          <w:numId w:val="1"/>
        </w:numPr>
        <w:autoSpaceDE w:val="0"/>
        <w:autoSpaceDN w:val="0"/>
        <w:spacing w:after="0" w:line="276" w:lineRule="auto"/>
        <w:jc w:val="both"/>
        <w:rPr>
          <w:rFonts w:ascii="Source Sans Pro" w:eastAsia="Times New Roman" w:hAnsi="Source Sans Pro" w:cs="Times New Roman"/>
          <w:b/>
          <w:sz w:val="20"/>
          <w:szCs w:val="20"/>
          <w:u w:val="single"/>
          <w:lang w:eastAsia="de-DE"/>
        </w:rPr>
      </w:pPr>
      <w:r w:rsidRPr="00946836">
        <w:rPr>
          <w:rFonts w:ascii="Source Sans Pro" w:eastAsia="Times New Roman" w:hAnsi="Source Sans Pro" w:cs="Times New Roman"/>
          <w:b/>
          <w:sz w:val="20"/>
          <w:szCs w:val="20"/>
          <w:u w:val="single"/>
          <w:lang w:eastAsia="de-DE"/>
        </w:rPr>
        <w:t>Prüfung der Umweltverträglichkeit durch das Landratsamt Oberallgäu</w:t>
      </w:r>
    </w:p>
    <w:p w:rsidR="00946836" w:rsidRPr="00946836" w:rsidRDefault="00946836" w:rsidP="00946836">
      <w:pPr>
        <w:spacing w:after="0" w:line="276" w:lineRule="auto"/>
        <w:rPr>
          <w:rFonts w:ascii="Source Sans Pro" w:eastAsia="Times New Roman" w:hAnsi="Source Sans Pro" w:cs="Times New Roman"/>
          <w:b/>
          <w:sz w:val="20"/>
          <w:szCs w:val="20"/>
          <w:lang w:eastAsia="de-DE"/>
        </w:rPr>
      </w:pPr>
    </w:p>
    <w:p w:rsidR="00946836" w:rsidRPr="00946836" w:rsidRDefault="00946836" w:rsidP="00946836">
      <w:pPr>
        <w:spacing w:after="0" w:line="276" w:lineRule="auto"/>
        <w:ind w:left="708"/>
        <w:rPr>
          <w:rFonts w:ascii="Source Sans Pro" w:eastAsia="Times New Roman" w:hAnsi="Source Sans Pro" w:cs="Times New Roman"/>
          <w:b/>
          <w:sz w:val="20"/>
          <w:szCs w:val="20"/>
          <w:lang w:eastAsia="de-DE"/>
        </w:rPr>
      </w:pPr>
      <w:r w:rsidRPr="00946836">
        <w:rPr>
          <w:rFonts w:ascii="Source Sans Pro" w:eastAsia="Times New Roman" w:hAnsi="Source Sans Pro" w:cs="Times New Roman"/>
          <w:b/>
          <w:sz w:val="20"/>
          <w:szCs w:val="20"/>
          <w:lang w:eastAsia="de-DE"/>
        </w:rPr>
        <w:t>Nach § 7 Abs. 1 i.V.m. Anlage 1 des Gesetzes über die Umweltverträglichkeitsprüfung (UVPG) fällt das Vorhaben unter Ziffer 13.18.1, welches einer allgemeinen</w:t>
      </w:r>
      <w:r w:rsidRPr="00946836">
        <w:rPr>
          <w:rFonts w:ascii="Source Sans Pro" w:eastAsia="Times New Roman" w:hAnsi="Source Sans Pro" w:cs="Times New Roman"/>
          <w:b/>
          <w:sz w:val="20"/>
          <w:szCs w:val="20"/>
          <w:u w:val="single"/>
          <w:lang w:eastAsia="de-DE"/>
        </w:rPr>
        <w:t xml:space="preserve"> Vorprüfung</w:t>
      </w:r>
      <w:r w:rsidRPr="00946836">
        <w:rPr>
          <w:rFonts w:ascii="Source Sans Pro" w:eastAsia="Times New Roman" w:hAnsi="Source Sans Pro" w:cs="Times New Roman"/>
          <w:b/>
          <w:sz w:val="20"/>
          <w:szCs w:val="20"/>
          <w:lang w:eastAsia="de-DE"/>
        </w:rPr>
        <w:t xml:space="preserve"> nach Anlage 3 des UVPG bedarf.</w:t>
      </w:r>
    </w:p>
    <w:p w:rsidR="00946836" w:rsidRPr="00946836" w:rsidRDefault="00946836" w:rsidP="00946836">
      <w:pPr>
        <w:spacing w:after="0" w:line="276" w:lineRule="auto"/>
        <w:ind w:left="708"/>
        <w:rPr>
          <w:rFonts w:ascii="Source Sans Pro" w:eastAsia="Times New Roman" w:hAnsi="Source Sans Pro" w:cs="Times New Roman"/>
          <w:b/>
          <w:sz w:val="20"/>
          <w:szCs w:val="20"/>
          <w:lang w:eastAsia="de-DE"/>
        </w:rPr>
      </w:pPr>
    </w:p>
    <w:p w:rsidR="00946836" w:rsidRPr="00946836" w:rsidRDefault="00946836" w:rsidP="00946836">
      <w:pPr>
        <w:numPr>
          <w:ilvl w:val="0"/>
          <w:numId w:val="4"/>
        </w:numPr>
        <w:spacing w:after="0" w:line="276" w:lineRule="auto"/>
        <w:ind w:left="1068"/>
        <w:jc w:val="both"/>
        <w:rPr>
          <w:rFonts w:ascii="Source Sans Pro" w:eastAsia="Times New Roman" w:hAnsi="Source Sans Pro" w:cs="Times New Roman"/>
          <w:b/>
          <w:sz w:val="20"/>
          <w:szCs w:val="20"/>
          <w:lang w:eastAsia="de-DE"/>
        </w:rPr>
      </w:pPr>
      <w:r w:rsidRPr="00946836">
        <w:rPr>
          <w:rFonts w:ascii="Source Sans Pro" w:eastAsia="Times New Roman" w:hAnsi="Source Sans Pro" w:cs="Times New Roman"/>
          <w:b/>
          <w:sz w:val="20"/>
          <w:szCs w:val="20"/>
          <w:lang w:eastAsia="de-DE"/>
        </w:rPr>
        <w:t xml:space="preserve">Nach Prüfung der Merkmale des Vorhabens lässt sich feststellen, dass die Maßnahmen keine erheblichen Auswirkungen haben. Die Nutzung natürlicher Ressourcen (insbes. Fläche, Boden, Wasser) ist überwiegend auf den Bereich des bebauten Ortsgebietes beschränkt und es sind keine nachteiligen Einwirkungen zu erkennen. Die Umweltverschmutzung und Belästigungen sowie Risiken für die menschliche Gesundheit (z. B. Verunreinigung von Wasser und Luft) sind gering und beschränken sich auf die Bauzeit. </w:t>
      </w:r>
    </w:p>
    <w:p w:rsidR="00946836" w:rsidRPr="00946836" w:rsidRDefault="00946836" w:rsidP="00946836">
      <w:pPr>
        <w:spacing w:after="0" w:line="276" w:lineRule="auto"/>
        <w:ind w:left="1068"/>
        <w:jc w:val="both"/>
        <w:rPr>
          <w:rFonts w:ascii="Source Sans Pro" w:eastAsia="Times New Roman" w:hAnsi="Source Sans Pro" w:cs="Times New Roman"/>
          <w:b/>
          <w:sz w:val="16"/>
          <w:szCs w:val="16"/>
          <w:lang w:eastAsia="de-DE"/>
        </w:rPr>
      </w:pPr>
    </w:p>
    <w:p w:rsidR="00946836" w:rsidRPr="00946836" w:rsidRDefault="00946836" w:rsidP="00946836">
      <w:pPr>
        <w:numPr>
          <w:ilvl w:val="0"/>
          <w:numId w:val="4"/>
        </w:numPr>
        <w:spacing w:after="0" w:line="276" w:lineRule="auto"/>
        <w:ind w:left="1068"/>
        <w:jc w:val="both"/>
        <w:rPr>
          <w:rFonts w:ascii="Source Sans Pro" w:eastAsia="Times New Roman" w:hAnsi="Source Sans Pro" w:cs="Times New Roman"/>
          <w:b/>
          <w:sz w:val="20"/>
          <w:szCs w:val="20"/>
          <w:lang w:eastAsia="de-DE"/>
        </w:rPr>
      </w:pPr>
      <w:r w:rsidRPr="00946836">
        <w:rPr>
          <w:rFonts w:ascii="Source Sans Pro" w:eastAsia="Times New Roman" w:hAnsi="Source Sans Pro" w:cs="Times New Roman"/>
          <w:b/>
          <w:sz w:val="20"/>
          <w:szCs w:val="20"/>
          <w:lang w:eastAsia="de-DE"/>
        </w:rPr>
        <w:t xml:space="preserve">Die Prüfung der Merkmale des Standortes ergibt, dass sich der Flächenanspruch auf den innörtlichen Bereich beschränkt und genutztes Grünland nur unwesentlich betroffen ist. Reichtum, Verfügbarkeit Qualität und Regeneration der natürlichen Ressourcen sind nicht beeinträchtigt. Zudem sind keine Schutzgebiete vorhanden, wie Natura 2000, Naturschutz- und Landschaftsschutzgebiete, Wasserschutzgebiete u.a. betroffen. Nur ein kleiner Teil eines Biotops (Fläche ca. 13 m²) ist berührt; jedoch ohne negative Auswirkungen auf die betreffenden Schutzgüter. </w:t>
      </w:r>
    </w:p>
    <w:p w:rsidR="00946836" w:rsidRPr="00946836" w:rsidRDefault="00946836" w:rsidP="00946836">
      <w:pPr>
        <w:spacing w:after="0" w:line="276" w:lineRule="auto"/>
        <w:ind w:left="1068"/>
        <w:jc w:val="both"/>
        <w:rPr>
          <w:rFonts w:ascii="Source Sans Pro" w:eastAsia="Times New Roman" w:hAnsi="Source Sans Pro" w:cs="Times New Roman"/>
          <w:b/>
          <w:sz w:val="16"/>
          <w:szCs w:val="16"/>
          <w:lang w:eastAsia="de-DE"/>
        </w:rPr>
      </w:pPr>
    </w:p>
    <w:p w:rsidR="00946836" w:rsidRPr="00946836" w:rsidRDefault="00946836" w:rsidP="00946836">
      <w:pPr>
        <w:numPr>
          <w:ilvl w:val="0"/>
          <w:numId w:val="4"/>
        </w:numPr>
        <w:spacing w:after="0" w:line="276" w:lineRule="auto"/>
        <w:ind w:left="1068"/>
        <w:jc w:val="both"/>
        <w:rPr>
          <w:rFonts w:ascii="Source Sans Pro" w:eastAsia="Times New Roman" w:hAnsi="Source Sans Pro" w:cs="Times New Roman"/>
          <w:b/>
          <w:sz w:val="20"/>
          <w:szCs w:val="20"/>
          <w:lang w:eastAsia="de-DE"/>
        </w:rPr>
      </w:pPr>
      <w:r w:rsidRPr="00946836">
        <w:rPr>
          <w:rFonts w:ascii="Source Sans Pro" w:eastAsia="Times New Roman" w:hAnsi="Source Sans Pro" w:cs="Times New Roman"/>
          <w:b/>
          <w:sz w:val="20"/>
          <w:szCs w:val="20"/>
          <w:lang w:eastAsia="de-DE"/>
        </w:rPr>
        <w:t>Nach Prüfung der Art und Merkmale der möglichen Auswirkungen, gemessen u.a. an Art und Ausmaß auf das geographische Gebiet und des Personenkreises, der Schwere und Komplexität, der Wahrscheinlichkeit, zeitlichen Zusammenhänge, dem Zusammenwirken mit andern Vorhaben und der Verminderung der Auswirkungen, lässt sich feststellen, dass diese unmaßgeblich sind.</w:t>
      </w:r>
    </w:p>
    <w:p w:rsidR="00946836" w:rsidRPr="00946836" w:rsidRDefault="00946836" w:rsidP="00946836">
      <w:pPr>
        <w:spacing w:after="0" w:line="276" w:lineRule="auto"/>
        <w:jc w:val="both"/>
        <w:rPr>
          <w:rFonts w:ascii="Source Sans Pro" w:eastAsia="Times New Roman" w:hAnsi="Source Sans Pro" w:cs="Times New Roman"/>
          <w:b/>
          <w:sz w:val="20"/>
          <w:szCs w:val="20"/>
          <w:lang w:eastAsia="de-DE"/>
        </w:rPr>
      </w:pPr>
    </w:p>
    <w:p w:rsidR="00946836" w:rsidRPr="00946836" w:rsidRDefault="00946836" w:rsidP="00946836">
      <w:pPr>
        <w:autoSpaceDE w:val="0"/>
        <w:autoSpaceDN w:val="0"/>
        <w:spacing w:after="0" w:line="276" w:lineRule="auto"/>
        <w:ind w:left="708"/>
        <w:jc w:val="both"/>
        <w:rPr>
          <w:rFonts w:ascii="Source Sans Pro" w:eastAsia="Times New Roman" w:hAnsi="Source Sans Pro" w:cs="Times New Roman"/>
          <w:b/>
          <w:sz w:val="20"/>
          <w:szCs w:val="20"/>
          <w:lang w:eastAsia="de-DE"/>
        </w:rPr>
      </w:pPr>
      <w:r w:rsidRPr="00946836">
        <w:rPr>
          <w:rFonts w:ascii="Source Sans Pro" w:eastAsia="Times New Roman" w:hAnsi="Source Sans Pro" w:cs="Times New Roman"/>
          <w:b/>
          <w:sz w:val="20"/>
          <w:szCs w:val="20"/>
          <w:lang w:eastAsia="de-DE"/>
        </w:rPr>
        <w:t xml:space="preserve">Im Rahmen der Vorprüfung wurde festgestellt, dass für das vorliegende Vorhaben keine Pflicht zur Durchführung einer Umweltverträglichkeitsprüfung besteht. Die geplanten Maßnahmen haben keine erheblichen nachteiligen Auswirkungen auf die Schutzgüter nach § 2 Abs. 1 UVPG. </w:t>
      </w:r>
    </w:p>
    <w:p w:rsidR="00946836" w:rsidRDefault="00946836" w:rsidP="00946836">
      <w:pPr>
        <w:spacing w:after="0" w:line="240" w:lineRule="auto"/>
        <w:rPr>
          <w:rFonts w:ascii="Source Sans Pro" w:eastAsia="Times New Roman" w:hAnsi="Source Sans Pro" w:cs="Times New Roman"/>
          <w:sz w:val="20"/>
          <w:szCs w:val="20"/>
          <w:lang w:eastAsia="de-DE"/>
        </w:rPr>
      </w:pPr>
    </w:p>
    <w:p w:rsidR="00946836" w:rsidRPr="00946836" w:rsidRDefault="00946836" w:rsidP="00946836">
      <w:pPr>
        <w:spacing w:after="0" w:line="240" w:lineRule="auto"/>
        <w:rPr>
          <w:rFonts w:ascii="Source Sans Pro" w:eastAsia="Times New Roman" w:hAnsi="Source Sans Pro" w:cs="Times New Roman"/>
          <w:sz w:val="20"/>
          <w:szCs w:val="20"/>
          <w:lang w:eastAsia="de-DE"/>
        </w:rPr>
      </w:pPr>
      <w:bookmarkStart w:id="0" w:name="_GoBack"/>
      <w:bookmarkEnd w:id="0"/>
    </w:p>
    <w:p w:rsidR="00946836" w:rsidRPr="00946836" w:rsidRDefault="00946836" w:rsidP="00946836">
      <w:pPr>
        <w:autoSpaceDE w:val="0"/>
        <w:autoSpaceDN w:val="0"/>
        <w:spacing w:after="0" w:line="276" w:lineRule="auto"/>
        <w:ind w:left="720"/>
        <w:jc w:val="both"/>
        <w:rPr>
          <w:rFonts w:ascii="Source Sans Pro" w:eastAsia="Times New Roman" w:hAnsi="Source Sans Pro" w:cs="Times New Roman"/>
          <w:sz w:val="20"/>
          <w:szCs w:val="20"/>
          <w:lang w:eastAsia="de-DE"/>
        </w:rPr>
      </w:pPr>
    </w:p>
    <w:p w:rsidR="00946836" w:rsidRPr="00946836" w:rsidRDefault="00946836" w:rsidP="00946836">
      <w:pPr>
        <w:numPr>
          <w:ilvl w:val="0"/>
          <w:numId w:val="1"/>
        </w:numPr>
        <w:autoSpaceDE w:val="0"/>
        <w:autoSpaceDN w:val="0"/>
        <w:spacing w:after="0" w:line="276" w:lineRule="auto"/>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Das Vorhaben wird bekanntgemacht mit dem Hinweis, dass</w:t>
      </w:r>
    </w:p>
    <w:p w:rsidR="00946836" w:rsidRPr="00946836" w:rsidRDefault="00946836" w:rsidP="00946836">
      <w:pPr>
        <w:autoSpaceDE w:val="0"/>
        <w:autoSpaceDN w:val="0"/>
        <w:spacing w:after="0" w:line="276" w:lineRule="auto"/>
        <w:jc w:val="both"/>
        <w:rPr>
          <w:rFonts w:ascii="Source Sans Pro" w:eastAsia="Times New Roman" w:hAnsi="Source Sans Pro" w:cs="Times New Roman"/>
          <w:sz w:val="20"/>
          <w:szCs w:val="20"/>
          <w:lang w:eastAsia="de-DE"/>
        </w:rPr>
      </w:pPr>
    </w:p>
    <w:p w:rsidR="00946836" w:rsidRPr="00946836" w:rsidRDefault="00946836" w:rsidP="00946836">
      <w:pPr>
        <w:autoSpaceDE w:val="0"/>
        <w:autoSpaceDN w:val="0"/>
        <w:spacing w:after="0" w:line="276" w:lineRule="auto"/>
        <w:ind w:left="1416" w:hanging="696"/>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 xml:space="preserve">1. </w:t>
      </w:r>
      <w:r w:rsidRPr="00946836">
        <w:rPr>
          <w:rFonts w:ascii="Source Sans Pro" w:eastAsia="Times New Roman" w:hAnsi="Source Sans Pro" w:cs="Times New Roman"/>
          <w:sz w:val="20"/>
          <w:szCs w:val="20"/>
          <w:lang w:eastAsia="de-DE"/>
        </w:rPr>
        <w:tab/>
        <w:t xml:space="preserve">die Pläne für die beantragte wasserrechtliche Erlaubnis vom </w:t>
      </w:r>
      <w:r w:rsidRPr="00946836">
        <w:rPr>
          <w:rFonts w:ascii="Source Sans Pro" w:eastAsia="Times New Roman" w:hAnsi="Source Sans Pro" w:cs="Times New Roman"/>
          <w:sz w:val="20"/>
          <w:szCs w:val="20"/>
          <w:u w:val="single"/>
          <w:lang w:eastAsia="de-DE"/>
        </w:rPr>
        <w:t>_______________</w:t>
      </w:r>
      <w:r w:rsidRPr="00946836">
        <w:rPr>
          <w:rFonts w:ascii="Source Sans Pro" w:eastAsia="Times New Roman" w:hAnsi="Source Sans Pro" w:cs="Times New Roman"/>
          <w:sz w:val="20"/>
          <w:szCs w:val="20"/>
          <w:lang w:eastAsia="de-DE"/>
        </w:rPr>
        <w:t xml:space="preserve"> bis zum </w:t>
      </w:r>
      <w:r w:rsidRPr="00946836">
        <w:rPr>
          <w:rFonts w:ascii="Source Sans Pro" w:eastAsia="Times New Roman" w:hAnsi="Source Sans Pro" w:cs="Times New Roman"/>
          <w:sz w:val="20"/>
          <w:szCs w:val="20"/>
          <w:u w:val="single"/>
          <w:lang w:eastAsia="de-DE"/>
        </w:rPr>
        <w:t>______________</w:t>
      </w:r>
      <w:r w:rsidRPr="00946836">
        <w:rPr>
          <w:rFonts w:ascii="Source Sans Pro" w:eastAsia="Times New Roman" w:hAnsi="Source Sans Pro" w:cs="Times New Roman"/>
          <w:sz w:val="20"/>
          <w:szCs w:val="20"/>
          <w:lang w:eastAsia="de-DE"/>
        </w:rPr>
        <w:t xml:space="preserve"> bei der Gemeinde, Zimmer-Nr. </w:t>
      </w:r>
      <w:r w:rsidRPr="00946836">
        <w:rPr>
          <w:rFonts w:ascii="Source Sans Pro" w:eastAsia="Times New Roman" w:hAnsi="Source Sans Pro" w:cs="Times New Roman"/>
          <w:sz w:val="20"/>
          <w:szCs w:val="20"/>
          <w:u w:val="single"/>
          <w:lang w:eastAsia="de-DE"/>
        </w:rPr>
        <w:t>__________</w:t>
      </w:r>
      <w:r w:rsidRPr="00946836">
        <w:rPr>
          <w:rFonts w:ascii="Source Sans Pro" w:eastAsia="Times New Roman" w:hAnsi="Source Sans Pro" w:cs="Times New Roman"/>
          <w:sz w:val="20"/>
          <w:szCs w:val="20"/>
          <w:lang w:eastAsia="de-DE"/>
        </w:rPr>
        <w:t xml:space="preserve"> während der Dienststunden, zur öffentlichen Einsicht ausliegen, </w:t>
      </w:r>
    </w:p>
    <w:p w:rsidR="00946836" w:rsidRPr="00946836" w:rsidRDefault="00946836" w:rsidP="00946836">
      <w:pPr>
        <w:numPr>
          <w:ilvl w:val="0"/>
          <w:numId w:val="2"/>
        </w:numPr>
        <w:autoSpaceDE w:val="0"/>
        <w:autoSpaceDN w:val="0"/>
        <w:spacing w:after="0" w:line="276" w:lineRule="auto"/>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die Antragsunterlagen auch unter https://www.oberallgaeu.org/landkreis-politik-kommunales-ehrenamt/oeffentliche-bekanntmachungen heruntergeladen werden können und</w:t>
      </w:r>
    </w:p>
    <w:p w:rsidR="00946836" w:rsidRPr="00946836" w:rsidRDefault="00946836" w:rsidP="00946836">
      <w:pPr>
        <w:numPr>
          <w:ilvl w:val="0"/>
          <w:numId w:val="2"/>
        </w:numPr>
        <w:autoSpaceDE w:val="0"/>
        <w:autoSpaceDN w:val="0"/>
        <w:spacing w:after="0" w:line="276" w:lineRule="auto"/>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jeder, dessen Belange durch das Vorhaben berührt werden, bis zwei Wochen nach Ablauf der Auslegungsfrist schriftlich oder zur Niederschrift bei der Gemeinde oder beim Landratsamt Oberallgäu Einwendungen gegen den Plan erheben kann,</w:t>
      </w:r>
    </w:p>
    <w:p w:rsidR="00946836" w:rsidRPr="00946836" w:rsidRDefault="00946836" w:rsidP="00946836">
      <w:pPr>
        <w:numPr>
          <w:ilvl w:val="0"/>
          <w:numId w:val="2"/>
        </w:numPr>
        <w:autoSpaceDE w:val="0"/>
        <w:autoSpaceDN w:val="0"/>
        <w:spacing w:after="0" w:line="276" w:lineRule="auto"/>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bei Ausbleiben eines Beteiligten in dem Erörterungstermin auch ohne ihn verhandelt werden kann und verspätete Einwendungen bei der Erörterung und Entscheidung unberücksichtigt bleiben können,</w:t>
      </w:r>
    </w:p>
    <w:p w:rsidR="00946836" w:rsidRPr="00946836" w:rsidRDefault="00946836" w:rsidP="00946836">
      <w:pPr>
        <w:tabs>
          <w:tab w:val="left" w:pos="993"/>
        </w:tabs>
        <w:spacing w:after="0" w:line="276" w:lineRule="auto"/>
        <w:ind w:left="1416" w:hanging="711"/>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5.</w:t>
      </w:r>
      <w:r w:rsidRPr="00946836">
        <w:rPr>
          <w:rFonts w:ascii="Source Sans Pro" w:eastAsia="Times New Roman" w:hAnsi="Source Sans Pro" w:cs="Times New Roman"/>
          <w:sz w:val="20"/>
          <w:szCs w:val="20"/>
          <w:lang w:eastAsia="de-DE"/>
        </w:rPr>
        <w:tab/>
        <w:t xml:space="preserve">a) </w:t>
      </w:r>
      <w:r w:rsidRPr="00946836">
        <w:rPr>
          <w:rFonts w:ascii="Source Sans Pro" w:eastAsia="Times New Roman" w:hAnsi="Source Sans Pro" w:cs="Times New Roman"/>
          <w:sz w:val="20"/>
          <w:szCs w:val="20"/>
          <w:lang w:eastAsia="de-DE"/>
        </w:rPr>
        <w:tab/>
        <w:t>die Personen, die Einwendungen erhoben haben, von dem Erörterungstermin durch öffentliche Bekanntmachung benachrichtigt werden können,</w:t>
      </w:r>
    </w:p>
    <w:p w:rsidR="00946836" w:rsidRPr="00946836" w:rsidRDefault="00946836" w:rsidP="00946836">
      <w:pPr>
        <w:tabs>
          <w:tab w:val="left" w:pos="993"/>
        </w:tabs>
        <w:spacing w:after="0" w:line="276" w:lineRule="auto"/>
        <w:ind w:left="1416" w:hanging="711"/>
        <w:jc w:val="both"/>
        <w:rPr>
          <w:rFonts w:ascii="Source Sans Pro" w:eastAsia="Times New Roman" w:hAnsi="Source Sans Pro" w:cs="Times New Roman"/>
          <w:sz w:val="20"/>
          <w:szCs w:val="20"/>
          <w:lang w:eastAsia="de-DE"/>
        </w:rPr>
      </w:pPr>
      <w:r w:rsidRPr="00946836">
        <w:rPr>
          <w:rFonts w:ascii="Source Sans Pro" w:eastAsia="Times New Roman" w:hAnsi="Source Sans Pro" w:cs="Times New Roman"/>
          <w:sz w:val="20"/>
          <w:szCs w:val="20"/>
          <w:lang w:eastAsia="de-DE"/>
        </w:rPr>
        <w:tab/>
        <w:t xml:space="preserve">b) </w:t>
      </w:r>
      <w:r w:rsidRPr="00946836">
        <w:rPr>
          <w:rFonts w:ascii="Source Sans Pro" w:eastAsia="Times New Roman" w:hAnsi="Source Sans Pro" w:cs="Times New Roman"/>
          <w:sz w:val="20"/>
          <w:szCs w:val="20"/>
          <w:lang w:eastAsia="de-DE"/>
        </w:rPr>
        <w:tab/>
        <w:t>die Zustellung der Entscheidung über die Einwendungen durch öffentliche Bekanntmachung ersetzt werden kann, wenn mehr als 50 Benachrichtigungen oder Zustellungen vorzunehmen sind.</w:t>
      </w:r>
    </w:p>
    <w:p w:rsidR="00946836" w:rsidRPr="00946836" w:rsidRDefault="00946836" w:rsidP="00946836">
      <w:pPr>
        <w:tabs>
          <w:tab w:val="left" w:pos="360"/>
          <w:tab w:val="left" w:pos="630"/>
        </w:tabs>
        <w:autoSpaceDE w:val="0"/>
        <w:autoSpaceDN w:val="0"/>
        <w:spacing w:after="0" w:line="276" w:lineRule="auto"/>
        <w:ind w:left="902" w:hanging="902"/>
        <w:jc w:val="both"/>
        <w:rPr>
          <w:rFonts w:ascii="Source Sans Pro" w:eastAsia="Times New Roman" w:hAnsi="Source Sans Pro" w:cs="Times New Roman"/>
          <w:b/>
          <w:sz w:val="20"/>
          <w:szCs w:val="20"/>
          <w:lang w:eastAsia="de-DE"/>
        </w:rPr>
      </w:pPr>
    </w:p>
    <w:p w:rsidR="00946836" w:rsidRPr="00946836" w:rsidRDefault="00946836" w:rsidP="00946836">
      <w:pPr>
        <w:tabs>
          <w:tab w:val="left" w:pos="360"/>
          <w:tab w:val="left" w:pos="630"/>
        </w:tabs>
        <w:autoSpaceDE w:val="0"/>
        <w:autoSpaceDN w:val="0"/>
        <w:spacing w:after="0" w:line="276" w:lineRule="auto"/>
        <w:ind w:left="902" w:hanging="902"/>
        <w:jc w:val="both"/>
        <w:rPr>
          <w:rFonts w:ascii="Source Sans Pro" w:eastAsia="Times New Roman" w:hAnsi="Source Sans Pro" w:cs="Times New Roman"/>
          <w:b/>
          <w:sz w:val="20"/>
          <w:szCs w:val="20"/>
          <w:lang w:eastAsia="de-DE"/>
        </w:rPr>
      </w:pPr>
    </w:p>
    <w:p w:rsidR="00946836" w:rsidRPr="00946836" w:rsidRDefault="00946836" w:rsidP="00946836">
      <w:pPr>
        <w:tabs>
          <w:tab w:val="left" w:pos="630"/>
        </w:tabs>
        <w:autoSpaceDE w:val="0"/>
        <w:autoSpaceDN w:val="0"/>
        <w:spacing w:after="0" w:line="276" w:lineRule="auto"/>
        <w:jc w:val="both"/>
        <w:rPr>
          <w:rFonts w:ascii="Source Sans Pro" w:eastAsia="Times New Roman" w:hAnsi="Source Sans Pro" w:cs="Times New Roman"/>
          <w:b/>
          <w:vanish/>
          <w:sz w:val="20"/>
          <w:szCs w:val="20"/>
          <w:lang w:eastAsia="de-DE"/>
        </w:rPr>
      </w:pPr>
      <w:r w:rsidRPr="00946836">
        <w:rPr>
          <w:rFonts w:ascii="Source Sans Pro" w:eastAsia="Times New Roman" w:hAnsi="Source Sans Pro" w:cs="Times New Roman"/>
          <w:b/>
          <w:sz w:val="20"/>
          <w:szCs w:val="20"/>
          <w:lang w:eastAsia="de-DE"/>
        </w:rPr>
        <w:t>Stadt Immenstadt</w:t>
      </w:r>
    </w:p>
    <w:p w:rsidR="00946836" w:rsidRPr="00946836" w:rsidRDefault="00946836" w:rsidP="00946836">
      <w:pPr>
        <w:tabs>
          <w:tab w:val="left" w:pos="630"/>
        </w:tabs>
        <w:autoSpaceDE w:val="0"/>
        <w:autoSpaceDN w:val="0"/>
        <w:spacing w:after="0" w:line="276" w:lineRule="auto"/>
        <w:jc w:val="both"/>
        <w:rPr>
          <w:rFonts w:ascii="Source Sans Pro" w:eastAsia="Times New Roman" w:hAnsi="Source Sans Pro" w:cs="Times New Roman"/>
          <w:b/>
          <w:sz w:val="20"/>
          <w:szCs w:val="20"/>
          <w:lang w:eastAsia="de-DE"/>
        </w:rPr>
      </w:pPr>
    </w:p>
    <w:p w:rsidR="00946836" w:rsidRPr="00946836" w:rsidRDefault="00946836" w:rsidP="00946836">
      <w:pPr>
        <w:tabs>
          <w:tab w:val="left" w:pos="630"/>
        </w:tabs>
        <w:autoSpaceDE w:val="0"/>
        <w:autoSpaceDN w:val="0"/>
        <w:spacing w:after="0" w:line="276" w:lineRule="auto"/>
        <w:jc w:val="both"/>
        <w:rPr>
          <w:rFonts w:ascii="Source Sans Pro" w:eastAsia="Times New Roman" w:hAnsi="Source Sans Pro" w:cs="Times New Roman"/>
          <w:b/>
          <w:sz w:val="20"/>
          <w:szCs w:val="20"/>
          <w:lang w:eastAsia="de-DE"/>
        </w:rPr>
      </w:pPr>
    </w:p>
    <w:p w:rsidR="00946836" w:rsidRPr="00946836" w:rsidRDefault="00946836" w:rsidP="00946836">
      <w:pPr>
        <w:tabs>
          <w:tab w:val="left" w:pos="630"/>
        </w:tabs>
        <w:autoSpaceDE w:val="0"/>
        <w:autoSpaceDN w:val="0"/>
        <w:spacing w:after="0" w:line="276" w:lineRule="auto"/>
        <w:jc w:val="both"/>
        <w:rPr>
          <w:rFonts w:ascii="Source Sans Pro" w:eastAsia="Times New Roman" w:hAnsi="Source Sans Pro" w:cs="Times New Roman"/>
          <w:b/>
          <w:vanish/>
          <w:sz w:val="20"/>
          <w:szCs w:val="20"/>
          <w:lang w:eastAsia="de-DE"/>
        </w:rPr>
      </w:pPr>
      <w:r w:rsidRPr="00946836">
        <w:rPr>
          <w:rFonts w:ascii="Source Sans Pro" w:eastAsia="Times New Roman" w:hAnsi="Source Sans Pro" w:cs="Times New Roman"/>
          <w:b/>
          <w:sz w:val="20"/>
          <w:szCs w:val="20"/>
          <w:lang w:eastAsia="de-DE"/>
        </w:rPr>
        <w:t>BÜRGERMEISTER</w:t>
      </w:r>
    </w:p>
    <w:p w:rsidR="00946836" w:rsidRPr="00946836" w:rsidRDefault="00946836" w:rsidP="00946836">
      <w:pPr>
        <w:spacing w:after="0" w:line="276" w:lineRule="auto"/>
        <w:rPr>
          <w:rFonts w:ascii="Source Sans Pro" w:eastAsia="Times New Roman" w:hAnsi="Source Sans Pro" w:cs="Times New Roman"/>
          <w:sz w:val="20"/>
          <w:szCs w:val="20"/>
          <w:lang w:eastAsia="de-DE"/>
        </w:rPr>
      </w:pPr>
      <w:r w:rsidRPr="00946836">
        <w:rPr>
          <w:rFonts w:ascii="Source Sans Pro" w:eastAsia="Times New Roman" w:hAnsi="Source Sans Pro" w:cs="Times New Roman"/>
          <w:noProof/>
          <w:sz w:val="20"/>
          <w:szCs w:val="20"/>
          <w:lang w:eastAsia="de-DE"/>
        </w:rPr>
        <mc:AlternateContent>
          <mc:Choice Requires="wps">
            <w:drawing>
              <wp:anchor distT="0" distB="0" distL="114300" distR="114300" simplePos="0" relativeHeight="251661312" behindDoc="0" locked="1" layoutInCell="1" allowOverlap="1" wp14:anchorId="324CFD49" wp14:editId="4E9D99E2">
                <wp:simplePos x="0" y="0"/>
                <wp:positionH relativeFrom="column">
                  <wp:posOffset>-720090</wp:posOffset>
                </wp:positionH>
                <wp:positionV relativeFrom="page">
                  <wp:posOffset>5358765</wp:posOffset>
                </wp:positionV>
                <wp:extent cx="317500" cy="0"/>
                <wp:effectExtent l="0" t="0" r="25400" b="1905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line">
                          <a:avLst/>
                        </a:prstGeom>
                        <a:noFill/>
                        <a:ln w="9525" cap="flat" cmpd="sng" algn="ctr">
                          <a:solidFill>
                            <a:srgbClr val="4F81BD">
                              <a:shade val="95000"/>
                              <a:satMod val="105000"/>
                            </a:srgbClr>
                          </a:solidFill>
                          <a:prstDash val="solid"/>
                          <a:round/>
                          <a:headEnd type="none" w="med" len="med"/>
                          <a:tailEnd type="none" w="med" len="med"/>
                        </a:ln>
                        <a:effectLst/>
                      </wps:spPr>
                      <wps:bodyPr/>
                    </wps:wsp>
                  </a:graphicData>
                </a:graphic>
              </wp:anchor>
            </w:drawing>
          </mc:Choice>
          <mc:Fallback>
            <w:pict>
              <v:line w14:anchorId="28A328A8" id="Gerader Verbinder 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page" from="-56.7pt,421.95pt" to="-31.7pt,4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" strokecolor="#4a7ebb">
                <o:lock v:ext="edit" shapetype="f"/>
                <w10:wrap anchory="page"/>
                <w10:anchorlock/>
              </v:line>
            </w:pict>
          </mc:Fallback>
        </mc:AlternateContent>
      </w:r>
    </w:p>
    <w:p w:rsidR="00946836" w:rsidRPr="00946836" w:rsidRDefault="00946836" w:rsidP="00946836">
      <w:pPr>
        <w:spacing w:after="0" w:line="276" w:lineRule="auto"/>
        <w:rPr>
          <w:rFonts w:ascii="Source Sans Pro" w:eastAsia="Times New Roman" w:hAnsi="Source Sans Pro" w:cs="Times New Roman"/>
          <w:sz w:val="20"/>
          <w:szCs w:val="20"/>
          <w:lang w:eastAsia="de-DE"/>
        </w:rPr>
      </w:pPr>
      <w:r w:rsidRPr="00946836">
        <w:rPr>
          <w:rFonts w:ascii="Source Sans Pro" w:eastAsia="Times New Roman" w:hAnsi="Source Sans Pro" w:cs="Times New Roman"/>
          <w:noProof/>
          <w:sz w:val="20"/>
          <w:szCs w:val="20"/>
          <w:lang w:eastAsia="de-DE"/>
        </w:rPr>
        <mc:AlternateContent>
          <mc:Choice Requires="wps">
            <w:drawing>
              <wp:anchor distT="0" distB="0" distL="114300" distR="114300" simplePos="0" relativeHeight="251660288" behindDoc="0" locked="1" layoutInCell="1" allowOverlap="1" wp14:anchorId="0F255992" wp14:editId="26E9E565">
                <wp:simplePos x="0" y="0"/>
                <wp:positionH relativeFrom="column">
                  <wp:posOffset>-720090</wp:posOffset>
                </wp:positionH>
                <wp:positionV relativeFrom="page">
                  <wp:posOffset>5358765</wp:posOffset>
                </wp:positionV>
                <wp:extent cx="317500" cy="0"/>
                <wp:effectExtent l="0" t="0" r="25400" b="1905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line">
                          <a:avLst/>
                        </a:prstGeom>
                        <a:noFill/>
                        <a:ln w="9525" cap="flat" cmpd="sng" algn="ctr">
                          <a:solidFill>
                            <a:srgbClr val="4F81BD">
                              <a:shade val="95000"/>
                              <a:satMod val="105000"/>
                            </a:srgbClr>
                          </a:solidFill>
                          <a:prstDash val="solid"/>
                          <a:round/>
                          <a:headEnd type="none" w="med" len="med"/>
                          <a:tailEnd type="none" w="med" len="med"/>
                        </a:ln>
                        <a:effectLst/>
                      </wps:spPr>
                      <wps:bodyPr/>
                    </wps:wsp>
                  </a:graphicData>
                </a:graphic>
              </wp:anchor>
            </w:drawing>
          </mc:Choice>
          <mc:Fallback>
            <w:pict>
              <v:line w14:anchorId="4BEB974A" id="Gerader Verbinder 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page" from="-56.7pt,421.95pt" to="-31.7pt,4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" strokecolor="#4a7ebb">
                <o:lock v:ext="edit" shapetype="f"/>
                <w10:wrap anchory="page"/>
                <w10:anchorlock/>
              </v:line>
            </w:pict>
          </mc:Fallback>
        </mc:AlternateContent>
      </w:r>
      <w:r w:rsidRPr="00946836">
        <w:rPr>
          <w:rFonts w:ascii="Source Sans Pro" w:eastAsia="Times New Roman" w:hAnsi="Source Sans Pro" w:cs="Times New Roman"/>
          <w:noProof/>
          <w:sz w:val="20"/>
          <w:szCs w:val="20"/>
          <w:lang w:eastAsia="de-DE"/>
        </w:rPr>
        <mc:AlternateContent>
          <mc:Choice Requires="wps">
            <w:drawing>
              <wp:anchor distT="0" distB="0" distL="114300" distR="114300" simplePos="0" relativeHeight="251659264" behindDoc="0" locked="1" layoutInCell="1" allowOverlap="1" wp14:anchorId="761225BC" wp14:editId="313E9987">
                <wp:simplePos x="0" y="0"/>
                <wp:positionH relativeFrom="column">
                  <wp:posOffset>-720090</wp:posOffset>
                </wp:positionH>
                <wp:positionV relativeFrom="page">
                  <wp:posOffset>3780155</wp:posOffset>
                </wp:positionV>
                <wp:extent cx="317500" cy="0"/>
                <wp:effectExtent l="0" t="0" r="25400" b="1905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line">
                          <a:avLst/>
                        </a:prstGeom>
                        <a:noFill/>
                        <a:ln w="9525" cap="flat" cmpd="sng" algn="ctr">
                          <a:solidFill>
                            <a:srgbClr val="4F81BD">
                              <a:shade val="95000"/>
                              <a:satMod val="105000"/>
                            </a:srgbClr>
                          </a:solidFill>
                          <a:prstDash val="solid"/>
                          <a:round/>
                          <a:headEnd type="none" w="med" len="med"/>
                          <a:tailEnd type="none" w="med" len="med"/>
                        </a:ln>
                        <a:effectLst/>
                      </wps:spPr>
                      <wps:bodyPr/>
                    </wps:wsp>
                  </a:graphicData>
                </a:graphic>
              </wp:anchor>
            </w:drawing>
          </mc:Choice>
          <mc:Fallback>
            <w:pict>
              <v:line w14:anchorId="26A61052" id="Gerader Verbinde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page" from="-56.7pt,297.65pt" to="-31.7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" strokecolor="#4a7ebb">
                <o:lock v:ext="edit" shapetype="f"/>
                <w10:wrap anchory="page"/>
                <w10:anchorlock/>
              </v:line>
            </w:pict>
          </mc:Fallback>
        </mc:AlternateContent>
      </w:r>
    </w:p>
    <w:p w:rsidR="00410A09" w:rsidRDefault="00410A09"/>
    <w:sectPr w:rsidR="00410A09" w:rsidSect="00946836">
      <w:pgSz w:w="11906" w:h="16838" w:code="9"/>
      <w:pgMar w:top="-1134" w:right="1133" w:bottom="1134" w:left="1134" w:header="720" w:footer="11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Corbel"/>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21502"/>
    <w:multiLevelType w:val="singleLevel"/>
    <w:tmpl w:val="04070013"/>
    <w:lvl w:ilvl="0">
      <w:start w:val="1"/>
      <w:numFmt w:val="upperRoman"/>
      <w:lvlText w:val="%1."/>
      <w:lvlJc w:val="left"/>
      <w:pPr>
        <w:tabs>
          <w:tab w:val="num" w:pos="720"/>
        </w:tabs>
        <w:ind w:left="720" w:hanging="720"/>
      </w:pPr>
      <w:rPr>
        <w:rFonts w:hint="default"/>
      </w:rPr>
    </w:lvl>
  </w:abstractNum>
  <w:abstractNum w:abstractNumId="1" w15:restartNumberingAfterBreak="0">
    <w:nsid w:val="5F20084B"/>
    <w:multiLevelType w:val="singleLevel"/>
    <w:tmpl w:val="C4C43118"/>
    <w:lvl w:ilvl="0">
      <w:start w:val="2"/>
      <w:numFmt w:val="decimal"/>
      <w:lvlText w:val="%1."/>
      <w:lvlJc w:val="left"/>
      <w:pPr>
        <w:tabs>
          <w:tab w:val="num" w:pos="1413"/>
        </w:tabs>
        <w:ind w:left="1413" w:hanging="705"/>
      </w:pPr>
      <w:rPr>
        <w:rFonts w:hint="default"/>
      </w:rPr>
    </w:lvl>
  </w:abstractNum>
  <w:abstractNum w:abstractNumId="2" w15:restartNumberingAfterBreak="0">
    <w:nsid w:val="6DB50BCD"/>
    <w:multiLevelType w:val="hybridMultilevel"/>
    <w:tmpl w:val="8A822672"/>
    <w:lvl w:ilvl="0" w:tplc="9272B95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73D44D8C"/>
    <w:multiLevelType w:val="hybridMultilevel"/>
    <w:tmpl w:val="900A4C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num>
  <w:num w:numId="2">
    <w:abstractNumId w:val="1"/>
    <w:lvlOverride w:ilvl="0">
      <w:startOverride w:val="2"/>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36"/>
    <w:rsid w:val="00410A09"/>
    <w:rsid w:val="00946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8823"/>
  <w15:chartTrackingRefBased/>
  <w15:docId w15:val="{F0E8C69E-9D5F-439E-AA45-6136AEF0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B4C7F-DC11-4A79-9679-B477FAD2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KELLNER Thomas</dc:creator>
  <cp:keywords/>
  <dc:description/>
  <cp:lastModifiedBy>KELLNER Thomas</cp:lastModifiedBy>
  <cp:revision>1</cp:revision>
  <dcterms:created xsi:type="dcterms:W3CDTF">2024-08-21T13:37:00Z</dcterms:created>
  <dcterms:modified xsi:type="dcterms:W3CDTF">2024-08-21T13:39:00Z</dcterms:modified>
</cp:coreProperties>
</file>