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A33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58B16B05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2963956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C68650A" w14:textId="487DD7EA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591F268462354874928018E34F061F6E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7BF926CB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05224D2" w14:textId="53D187E4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21FC1B7E34534A8BBA7D3C923735EE42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A5B557F" w14:textId="7ED8B2A8" w:rsidR="00EB7C5C" w:rsidRDefault="00080B56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EB7C5C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591F268462354874928018E34F061F6E"/>
          </w:placeholder>
          <w:text/>
        </w:sdtPr>
        <w:sdtEndPr/>
        <w:sdtContent>
          <w:r w:rsidR="00D73DF5">
            <w:rPr>
              <w:rFonts w:cs="Arial"/>
              <w:sz w:val="24"/>
            </w:rPr>
            <w:t xml:space="preserve">ca. </w:t>
          </w:r>
          <w:r w:rsidR="004662C7">
            <w:rPr>
              <w:rFonts w:cs="Arial"/>
              <w:sz w:val="24"/>
            </w:rPr>
            <w:t>7,75</w:t>
          </w:r>
        </w:sdtContent>
      </w:sdt>
      <w:r w:rsidR="00EB7C5C">
        <w:rPr>
          <w:rFonts w:cs="Arial"/>
          <w:sz w:val="24"/>
        </w:rPr>
        <w:t xml:space="preserve"> ha Wald auf de</w:t>
      </w:r>
      <w:r w:rsidR="00D73DF5">
        <w:rPr>
          <w:rFonts w:cs="Arial"/>
          <w:sz w:val="24"/>
        </w:rPr>
        <w:t>n</w:t>
      </w:r>
      <w:r w:rsidR="00EB7C5C">
        <w:rPr>
          <w:rFonts w:cs="Arial"/>
          <w:sz w:val="24"/>
        </w:rPr>
        <w:t xml:space="preserve"> Flurstück</w:t>
      </w:r>
      <w:r w:rsidR="00D73DF5">
        <w:rPr>
          <w:rFonts w:cs="Arial"/>
          <w:sz w:val="24"/>
        </w:rPr>
        <w:t>en</w:t>
      </w:r>
      <w:r w:rsidR="00EB7C5C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81251E7D5D6F4E9FA27311D1D1540336"/>
          </w:placeholder>
        </w:sdtPr>
        <w:sdtEndPr/>
        <w:sdtContent>
          <w:r w:rsidR="00D7437F">
            <w:rPr>
              <w:rFonts w:cs="Arial"/>
              <w:sz w:val="24"/>
            </w:rPr>
            <w:t>86/4, 154, 155, 171</w:t>
          </w:r>
          <w:r w:rsidR="00025D49">
            <w:rPr>
              <w:rFonts w:cs="Arial"/>
              <w:sz w:val="24"/>
            </w:rPr>
            <w:t xml:space="preserve"> (Teilfläche</w:t>
          </w:r>
          <w:r w:rsidR="00D73DF5">
            <w:rPr>
              <w:rFonts w:cs="Arial"/>
              <w:sz w:val="24"/>
            </w:rPr>
            <w:t>n</w:t>
          </w:r>
          <w:r w:rsidR="00025D49">
            <w:rPr>
              <w:rFonts w:cs="Arial"/>
              <w:sz w:val="24"/>
            </w:rPr>
            <w:t>)</w:t>
          </w:r>
          <w:r w:rsidR="00D7437F">
            <w:rPr>
              <w:rFonts w:cs="Arial"/>
              <w:sz w:val="24"/>
            </w:rPr>
            <w:t>, 172, 173 (Teilflächen) und 176 in der</w:t>
          </w:r>
          <w:r w:rsidR="00025D49">
            <w:rPr>
              <w:rFonts w:cs="Arial"/>
              <w:sz w:val="24"/>
            </w:rPr>
            <w:t xml:space="preserve"> Gemarkung </w:t>
          </w:r>
          <w:proofErr w:type="spellStart"/>
          <w:r w:rsidR="00D7437F">
            <w:rPr>
              <w:rFonts w:cs="Arial"/>
              <w:sz w:val="24"/>
            </w:rPr>
            <w:t>Eibenberg</w:t>
          </w:r>
          <w:proofErr w:type="spellEnd"/>
        </w:sdtContent>
      </w:sdt>
      <w:r w:rsidR="00EB7C5C">
        <w:rPr>
          <w:rFonts w:cs="Arial"/>
          <w:sz w:val="24"/>
        </w:rPr>
        <w:t>.</w:t>
      </w:r>
    </w:p>
    <w:p w14:paraId="6CEBAE5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88D460F" w14:textId="043A522B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</w:t>
      </w:r>
      <w:r w:rsidR="00D7437F">
        <w:rPr>
          <w:rFonts w:cs="Arial"/>
          <w:sz w:val="24"/>
        </w:rPr>
        <w:t>allgemeinen</w:t>
      </w:r>
      <w:r>
        <w:rPr>
          <w:rFonts w:cs="Arial"/>
          <w:sz w:val="24"/>
        </w:rPr>
        <w:t xml:space="preserve"> Vorprüfung)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21FC1B7E34534A8BBA7D3C923735EE42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4EC5754E" w14:textId="77777777" w:rsidR="00EB7C5C" w:rsidRDefault="00EB7C5C" w:rsidP="00EB7C5C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08321299" w14:textId="2BAED0A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591F268462354874928018E34F061F6E"/>
          </w:placeholder>
          <w:text/>
        </w:sdtPr>
        <w:sdtEndPr/>
        <w:sdtContent>
          <w:r w:rsidR="00D73DF5">
            <w:rPr>
              <w:rFonts w:cs="Arial"/>
              <w:iCs/>
              <w:sz w:val="24"/>
            </w:rPr>
            <w:t>die Flächen im Landschaftsschutzgebiet „</w:t>
          </w:r>
          <w:r w:rsidR="00D7437F">
            <w:rPr>
              <w:rFonts w:cs="Arial"/>
              <w:iCs/>
              <w:sz w:val="24"/>
            </w:rPr>
            <w:t>Frankenwald</w:t>
          </w:r>
          <w:r w:rsidR="00D73DF5">
            <w:rPr>
              <w:rFonts w:cs="Arial"/>
              <w:iCs/>
              <w:sz w:val="24"/>
            </w:rPr>
            <w:t xml:space="preserve">“ </w:t>
          </w:r>
          <w:proofErr w:type="spellStart"/>
          <w:r w:rsidR="00D73DF5">
            <w:rPr>
              <w:rFonts w:cs="Arial"/>
              <w:iCs/>
              <w:sz w:val="24"/>
            </w:rPr>
            <w:t>i.S.d</w:t>
          </w:r>
          <w:proofErr w:type="spellEnd"/>
          <w:r w:rsidR="00D73DF5">
            <w:rPr>
              <w:rFonts w:cs="Arial"/>
              <w:iCs/>
              <w:sz w:val="24"/>
            </w:rPr>
            <w:t>. Anlage 3 Nr. 2.3.5 UVPG liegen. Da das Vorhaben den Schutzzweck nach § 3 der LSG-VO nicht beeinträchtigt bzw. gefährdet und nicht erlaubnispflichtig nach § 5 Abs. 1 LSG-VO ist, entstehen keine negativen Auswirkungen auf das Schutzgebiet.</w:t>
          </w:r>
        </w:sdtContent>
      </w:sdt>
    </w:p>
    <w:p w14:paraId="04002238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142D7F62" w14:textId="4C266618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6D7F842165DA4EF7BE05EA702C40A65E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307C9F8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801D2F8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39073967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531FEE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1E57664" w14:textId="22B6861F" w:rsidR="00EB7C5C" w:rsidRDefault="00D7437F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21.08.2024</w:t>
      </w:r>
    </w:p>
    <w:p w14:paraId="1083A1B7" w14:textId="4F441ECA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 xml:space="preserve">gez. </w:t>
      </w:r>
      <w:r w:rsidR="00D73DF5">
        <w:rPr>
          <w:rFonts w:cs="Arial"/>
          <w:i/>
          <w:sz w:val="24"/>
        </w:rPr>
        <w:t>Angermann, RI</w:t>
      </w:r>
    </w:p>
    <w:p w14:paraId="24DF94B7" w14:textId="77777777" w:rsidR="00EB7C5C" w:rsidRDefault="00EB7C5C" w:rsidP="00EB7C5C">
      <w:pPr>
        <w:spacing w:line="300" w:lineRule="exact"/>
      </w:pPr>
    </w:p>
    <w:p w14:paraId="63ED569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C"/>
    <w:rsid w:val="00025D49"/>
    <w:rsid w:val="00070973"/>
    <w:rsid w:val="00071592"/>
    <w:rsid w:val="00080B56"/>
    <w:rsid w:val="000B0059"/>
    <w:rsid w:val="000F100A"/>
    <w:rsid w:val="00111FDC"/>
    <w:rsid w:val="00207E2D"/>
    <w:rsid w:val="00252D89"/>
    <w:rsid w:val="003C649F"/>
    <w:rsid w:val="00403734"/>
    <w:rsid w:val="0045702D"/>
    <w:rsid w:val="004662C7"/>
    <w:rsid w:val="00480714"/>
    <w:rsid w:val="00507601"/>
    <w:rsid w:val="005349B0"/>
    <w:rsid w:val="00552D24"/>
    <w:rsid w:val="005F5D01"/>
    <w:rsid w:val="00652F23"/>
    <w:rsid w:val="00691205"/>
    <w:rsid w:val="006A1C23"/>
    <w:rsid w:val="006E618F"/>
    <w:rsid w:val="007F1057"/>
    <w:rsid w:val="0083405C"/>
    <w:rsid w:val="00842B7B"/>
    <w:rsid w:val="00867738"/>
    <w:rsid w:val="009F6D70"/>
    <w:rsid w:val="00A57F7B"/>
    <w:rsid w:val="00A71F2F"/>
    <w:rsid w:val="00A828CB"/>
    <w:rsid w:val="00AA5209"/>
    <w:rsid w:val="00AB7A1E"/>
    <w:rsid w:val="00B51FCA"/>
    <w:rsid w:val="00C62687"/>
    <w:rsid w:val="00D73DF5"/>
    <w:rsid w:val="00D7437F"/>
    <w:rsid w:val="00DE4A21"/>
    <w:rsid w:val="00EB7C5C"/>
    <w:rsid w:val="00F30E17"/>
    <w:rsid w:val="00F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4AF0"/>
  <w15:chartTrackingRefBased/>
  <w15:docId w15:val="{DC8C9213-19FA-461A-910B-F51C176B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C5C"/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EB7C5C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B7C5C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B7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F268462354874928018E34F06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7F235-97B5-47A7-9E00-17E679444C25}"/>
      </w:docPartPr>
      <w:docPartBody>
        <w:p w:rsidR="00D349FA" w:rsidRDefault="008E587A" w:rsidP="008E587A">
          <w:pPr>
            <w:pStyle w:val="591F268462354874928018E34F061F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C1B7E34534A8BBA7D3C923735E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9C00-BA1F-4527-977D-B018FE228E94}"/>
      </w:docPartPr>
      <w:docPartBody>
        <w:p w:rsidR="00D349FA" w:rsidRDefault="008E587A" w:rsidP="008E587A">
          <w:pPr>
            <w:pStyle w:val="21FC1B7E34534A8BBA7D3C923735EE4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1251E7D5D6F4E9FA27311D1D1540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66D7D-B14E-4E76-BCA0-6599B0339E84}"/>
      </w:docPartPr>
      <w:docPartBody>
        <w:p w:rsidR="00D349FA" w:rsidRDefault="008E587A" w:rsidP="008E587A">
          <w:pPr>
            <w:pStyle w:val="81251E7D5D6F4E9FA27311D1D154033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F842165DA4EF7BE05EA702C40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4CB7A-B3D7-44D5-ABC5-011334C5955F}"/>
      </w:docPartPr>
      <w:docPartBody>
        <w:p w:rsidR="00D349FA" w:rsidRDefault="008E587A" w:rsidP="008E587A">
          <w:pPr>
            <w:pStyle w:val="6D7F842165DA4EF7BE05EA702C40A65E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A"/>
    <w:rsid w:val="008E587A"/>
    <w:rsid w:val="00D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587A"/>
  </w:style>
  <w:style w:type="paragraph" w:customStyle="1" w:styleId="591F268462354874928018E34F061F6E">
    <w:name w:val="591F268462354874928018E34F061F6E"/>
    <w:rsid w:val="008E587A"/>
  </w:style>
  <w:style w:type="paragraph" w:customStyle="1" w:styleId="21FC1B7E34534A8BBA7D3C923735EE42">
    <w:name w:val="21FC1B7E34534A8BBA7D3C923735EE42"/>
    <w:rsid w:val="008E587A"/>
  </w:style>
  <w:style w:type="paragraph" w:customStyle="1" w:styleId="81251E7D5D6F4E9FA27311D1D1540336">
    <w:name w:val="81251E7D5D6F4E9FA27311D1D1540336"/>
    <w:rsid w:val="008E587A"/>
  </w:style>
  <w:style w:type="paragraph" w:customStyle="1" w:styleId="6D7F842165DA4EF7BE05EA702C40A65E">
    <w:name w:val="6D7F842165DA4EF7BE05EA702C40A65E"/>
    <w:rsid w:val="008E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Kuhmann, Anne (aelf-ku)</dc:creator>
  <cp:keywords/>
  <dc:description/>
  <cp:lastModifiedBy>Angermann, Frank (aelf-ck)</cp:lastModifiedBy>
  <cp:revision>4</cp:revision>
  <dcterms:created xsi:type="dcterms:W3CDTF">2024-08-21T05:54:00Z</dcterms:created>
  <dcterms:modified xsi:type="dcterms:W3CDTF">2024-08-21T06:03:00Z</dcterms:modified>
</cp:coreProperties>
</file>