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492" w:rsidRDefault="00F925AA" w:rsidP="00A22AF2">
      <w:pPr>
        <w:pStyle w:val="KeinLeerraum"/>
        <w:rPr>
          <w:rFonts w:ascii="Verdana" w:hAnsi="Verdana"/>
        </w:rPr>
      </w:pPr>
      <w:r>
        <w:rPr>
          <w:rFonts w:ascii="Verdana" w:hAnsi="Verdana"/>
        </w:rPr>
        <w:t>Nr. 44-641-M</w:t>
      </w:r>
    </w:p>
    <w:p w:rsidR="00154609" w:rsidRDefault="00154609" w:rsidP="00154609">
      <w:pPr>
        <w:pStyle w:val="KeinLeerraum"/>
        <w:jc w:val="both"/>
        <w:rPr>
          <w:rFonts w:ascii="Verdana" w:hAnsi="Verdana"/>
          <w:b/>
        </w:rPr>
      </w:pPr>
    </w:p>
    <w:p w:rsidR="00A22AF2" w:rsidRPr="00F925AA" w:rsidRDefault="00A22AF2" w:rsidP="00154609">
      <w:pPr>
        <w:pStyle w:val="KeinLeerraum"/>
        <w:jc w:val="both"/>
        <w:rPr>
          <w:rFonts w:ascii="Verdana" w:hAnsi="Verdana"/>
          <w:b/>
        </w:rPr>
      </w:pPr>
      <w:r w:rsidRPr="00F925AA">
        <w:rPr>
          <w:rFonts w:ascii="Verdana" w:hAnsi="Verdana"/>
          <w:b/>
        </w:rPr>
        <w:t>Wasserrecht;</w:t>
      </w:r>
    </w:p>
    <w:p w:rsidR="00A22AF2" w:rsidRPr="00F925AA" w:rsidRDefault="009E2B15" w:rsidP="00154609">
      <w:pPr>
        <w:pStyle w:val="KeinLeerraum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Entnehmen und Ein</w:t>
      </w:r>
      <w:r w:rsidR="00A22AF2" w:rsidRPr="00F925AA">
        <w:rPr>
          <w:rFonts w:ascii="Verdana" w:hAnsi="Verdana"/>
          <w:b/>
        </w:rPr>
        <w:t>leiten von Grundwasser</w:t>
      </w:r>
      <w:r>
        <w:rPr>
          <w:rFonts w:ascii="Verdana" w:hAnsi="Verdana"/>
          <w:b/>
        </w:rPr>
        <w:t xml:space="preserve"> in die </w:t>
      </w:r>
      <w:proofErr w:type="spellStart"/>
      <w:r>
        <w:rPr>
          <w:rFonts w:ascii="Verdana" w:hAnsi="Verdana"/>
          <w:b/>
        </w:rPr>
        <w:t>Abens</w:t>
      </w:r>
      <w:proofErr w:type="spellEnd"/>
      <w:r w:rsidR="00A22AF2" w:rsidRPr="00F925AA">
        <w:rPr>
          <w:rFonts w:ascii="Verdana" w:hAnsi="Verdana"/>
          <w:b/>
        </w:rPr>
        <w:t xml:space="preserve"> im R</w:t>
      </w:r>
      <w:r>
        <w:rPr>
          <w:rFonts w:ascii="Verdana" w:hAnsi="Verdana"/>
          <w:b/>
        </w:rPr>
        <w:t>ahmen der Ertüchtigung der K</w:t>
      </w:r>
      <w:r w:rsidR="00A22AF2" w:rsidRPr="00F925AA">
        <w:rPr>
          <w:rFonts w:ascii="Verdana" w:hAnsi="Verdana"/>
          <w:b/>
        </w:rPr>
        <w:t>läranlage Mainburg</w:t>
      </w:r>
      <w:r>
        <w:rPr>
          <w:rFonts w:ascii="Verdana" w:hAnsi="Verdana"/>
          <w:b/>
        </w:rPr>
        <w:t>, Flurnummer 999, Gemarkung</w:t>
      </w:r>
      <w:r w:rsidR="00A22AF2" w:rsidRPr="00F925AA">
        <w:rPr>
          <w:rFonts w:ascii="Verdana" w:hAnsi="Verdana"/>
          <w:b/>
        </w:rPr>
        <w:t xml:space="preserve"> </w:t>
      </w:r>
      <w:proofErr w:type="spellStart"/>
      <w:r w:rsidR="00A22AF2" w:rsidRPr="00F925AA">
        <w:rPr>
          <w:rFonts w:ascii="Verdana" w:hAnsi="Verdana"/>
          <w:b/>
        </w:rPr>
        <w:t>Lindkirchen</w:t>
      </w:r>
      <w:proofErr w:type="spellEnd"/>
    </w:p>
    <w:p w:rsidR="00A22AF2" w:rsidRPr="00F925AA" w:rsidRDefault="00A22AF2" w:rsidP="00154609">
      <w:pPr>
        <w:pStyle w:val="KeinLeerraum"/>
        <w:jc w:val="both"/>
        <w:rPr>
          <w:rFonts w:ascii="Verdana" w:hAnsi="Verdana"/>
          <w:b/>
        </w:rPr>
      </w:pPr>
      <w:r w:rsidRPr="00F925AA">
        <w:rPr>
          <w:rFonts w:ascii="Verdana" w:hAnsi="Verdana"/>
          <w:b/>
        </w:rPr>
        <w:t xml:space="preserve">hier: </w:t>
      </w:r>
      <w:r w:rsidR="009E2B15">
        <w:rPr>
          <w:rFonts w:ascii="Verdana" w:hAnsi="Verdana"/>
          <w:b/>
        </w:rPr>
        <w:t>Bekanntgabe nach § 5 Abs. 2 des Gesetzes über die</w:t>
      </w:r>
      <w:r w:rsidR="007E51EA" w:rsidRPr="00F925AA">
        <w:rPr>
          <w:rFonts w:ascii="Verdana" w:hAnsi="Verdana"/>
          <w:b/>
        </w:rPr>
        <w:t xml:space="preserve"> Umweltverträg</w:t>
      </w:r>
      <w:r w:rsidR="009E2B15">
        <w:rPr>
          <w:rFonts w:ascii="Verdana" w:hAnsi="Verdana"/>
          <w:b/>
        </w:rPr>
        <w:t xml:space="preserve">lichkeitsprüfung (UVPG) </w:t>
      </w:r>
    </w:p>
    <w:p w:rsidR="007E51EA" w:rsidRDefault="007E51EA" w:rsidP="00154609">
      <w:pPr>
        <w:pStyle w:val="KeinLeerraum"/>
        <w:jc w:val="both"/>
        <w:rPr>
          <w:rFonts w:ascii="Verdana" w:hAnsi="Verdana"/>
        </w:rPr>
      </w:pPr>
    </w:p>
    <w:p w:rsidR="007E51EA" w:rsidRDefault="007E51EA" w:rsidP="00154609">
      <w:pPr>
        <w:pStyle w:val="KeinLeerraum"/>
        <w:jc w:val="both"/>
        <w:rPr>
          <w:rFonts w:ascii="Verdana" w:hAnsi="Verdana"/>
        </w:rPr>
      </w:pPr>
      <w:r>
        <w:rPr>
          <w:rFonts w:ascii="Verdana" w:hAnsi="Verdana"/>
        </w:rPr>
        <w:t>Das Stadtunt</w:t>
      </w:r>
      <w:r w:rsidR="009E2B15">
        <w:rPr>
          <w:rFonts w:ascii="Verdana" w:hAnsi="Verdana"/>
        </w:rPr>
        <w:t xml:space="preserve">ernehmen Mainburg beantragt im Rahmen der Ertüchtigung der Kläranlage Mainburg das Entnehmen und Einleiten von Grundwasser in die </w:t>
      </w:r>
      <w:proofErr w:type="spellStart"/>
      <w:r w:rsidR="009E2B15">
        <w:rPr>
          <w:rFonts w:ascii="Verdana" w:hAnsi="Verdana"/>
        </w:rPr>
        <w:t>Abens</w:t>
      </w:r>
      <w:proofErr w:type="spellEnd"/>
      <w:r w:rsidR="009E2B15">
        <w:rPr>
          <w:rFonts w:ascii="Verdana" w:hAnsi="Verdana"/>
        </w:rPr>
        <w:t xml:space="preserve"> auf der Flurnummer 999 der Gemarkung </w:t>
      </w:r>
      <w:proofErr w:type="spellStart"/>
      <w:r w:rsidR="009E2B15">
        <w:rPr>
          <w:rFonts w:ascii="Verdana" w:hAnsi="Verdana"/>
        </w:rPr>
        <w:t>Lindkirchen</w:t>
      </w:r>
      <w:proofErr w:type="spellEnd"/>
      <w:r>
        <w:rPr>
          <w:rFonts w:ascii="Verdana" w:hAnsi="Verdana"/>
        </w:rPr>
        <w:t>.</w:t>
      </w:r>
    </w:p>
    <w:p w:rsidR="007E51EA" w:rsidRDefault="007E51EA" w:rsidP="00154609">
      <w:pPr>
        <w:pStyle w:val="KeinLeerraum"/>
        <w:jc w:val="both"/>
        <w:rPr>
          <w:rFonts w:ascii="Verdana" w:hAnsi="Verdana"/>
        </w:rPr>
      </w:pPr>
    </w:p>
    <w:p w:rsidR="007E51EA" w:rsidRDefault="007E51EA" w:rsidP="00154609">
      <w:pPr>
        <w:pStyle w:val="KeinLeerraum"/>
        <w:jc w:val="both"/>
        <w:rPr>
          <w:rFonts w:ascii="Verdana" w:hAnsi="Verdana"/>
        </w:rPr>
      </w:pPr>
      <w:r>
        <w:rPr>
          <w:rFonts w:ascii="Verdana" w:hAnsi="Verdana"/>
        </w:rPr>
        <w:t>Gemäß §§ 5 und 7 Abs. 2 i. V. m. § 2 Abs. 4 Nr. 1</w:t>
      </w:r>
      <w:r w:rsidR="002A6C18">
        <w:rPr>
          <w:rFonts w:ascii="Verdana" w:hAnsi="Verdana"/>
        </w:rPr>
        <w:t xml:space="preserve"> Buchstabe c</w:t>
      </w:r>
      <w:r>
        <w:rPr>
          <w:rFonts w:ascii="Verdana" w:hAnsi="Verdana"/>
        </w:rPr>
        <w:t xml:space="preserve"> </w:t>
      </w:r>
      <w:r w:rsidR="002A6C18">
        <w:rPr>
          <w:rFonts w:ascii="Verdana" w:hAnsi="Verdana"/>
        </w:rPr>
        <w:t>UVPG i. V. m. Nr. 13.3.2 der Anlage 1 zum UVPG</w:t>
      </w:r>
      <w:r>
        <w:rPr>
          <w:rFonts w:ascii="Verdana" w:hAnsi="Verdana"/>
        </w:rPr>
        <w:t xml:space="preserve"> ist für das Vorhaben im Rahmen der Vorprüfung unter Berücksichtigung</w:t>
      </w:r>
      <w:r w:rsidR="00EE06DA">
        <w:rPr>
          <w:rFonts w:ascii="Verdana" w:hAnsi="Verdana"/>
        </w:rPr>
        <w:t xml:space="preserve"> der Schutzkriterien der Anlage 3 zu diesem Gesetz festzustellen, ob durch das Vorhaben erhebliche, nachteilige Umweltauswirkungen zu erwarten sind und deshalb eine Verpflichtung zur Durchführung einer Umweltverträglichkeitsprüfung besteht.</w:t>
      </w:r>
    </w:p>
    <w:p w:rsidR="009E2B15" w:rsidRDefault="009E2B15" w:rsidP="00154609">
      <w:pPr>
        <w:pStyle w:val="KeinLeerraum"/>
        <w:jc w:val="both"/>
        <w:rPr>
          <w:rFonts w:ascii="Verdana" w:hAnsi="Verdana"/>
        </w:rPr>
      </w:pPr>
    </w:p>
    <w:p w:rsidR="009E2B15" w:rsidRDefault="009E2B15" w:rsidP="00154609">
      <w:pPr>
        <w:pStyle w:val="KeinLeerraum"/>
        <w:jc w:val="both"/>
        <w:rPr>
          <w:rFonts w:ascii="Verdana" w:hAnsi="Verdana"/>
        </w:rPr>
      </w:pPr>
      <w:r>
        <w:rPr>
          <w:rFonts w:ascii="Verdana" w:hAnsi="Verdana"/>
        </w:rPr>
        <w:t xml:space="preserve">Die allgemeine Vorprüfung hat ergeben, dass durch das Entnehmen und Einleiten des Grundwassers in die </w:t>
      </w:r>
      <w:proofErr w:type="spellStart"/>
      <w:r>
        <w:rPr>
          <w:rFonts w:ascii="Verdana" w:hAnsi="Verdana"/>
        </w:rPr>
        <w:t>Abens</w:t>
      </w:r>
      <w:proofErr w:type="spellEnd"/>
      <w:r>
        <w:rPr>
          <w:rFonts w:ascii="Verdana" w:hAnsi="Verdana"/>
        </w:rPr>
        <w:t xml:space="preserve"> zur Ertüchtigung der Kläranlage Mainburg keine erheblichen, nachteiligen Umwe</w:t>
      </w:r>
      <w:r w:rsidR="007B53E2">
        <w:rPr>
          <w:rFonts w:ascii="Verdana" w:hAnsi="Verdana"/>
        </w:rPr>
        <w:t>ltauswirkungen zu erwarten sind, die nach § 25 Nr. 2 UVPG bei der Zulassungsentscheidung zu berücksichtigen wären.</w:t>
      </w:r>
    </w:p>
    <w:p w:rsidR="009E2B15" w:rsidRDefault="009E2B15" w:rsidP="00154609">
      <w:pPr>
        <w:pStyle w:val="KeinLeerraum"/>
        <w:jc w:val="both"/>
        <w:rPr>
          <w:rFonts w:ascii="Verdana" w:hAnsi="Verdana"/>
        </w:rPr>
      </w:pPr>
    </w:p>
    <w:p w:rsidR="009E2B15" w:rsidRPr="009E2B15" w:rsidRDefault="009E2B15" w:rsidP="00154609">
      <w:pPr>
        <w:pStyle w:val="KeinLeerraum"/>
        <w:jc w:val="both"/>
        <w:rPr>
          <w:rFonts w:ascii="Verdana" w:hAnsi="Verdana"/>
          <w:u w:val="single"/>
        </w:rPr>
      </w:pPr>
      <w:r w:rsidRPr="009E2B15">
        <w:rPr>
          <w:rFonts w:ascii="Verdana" w:hAnsi="Verdana"/>
          <w:u w:val="single"/>
        </w:rPr>
        <w:t>Merkmale des Vorhabens</w:t>
      </w:r>
    </w:p>
    <w:p w:rsidR="009E2B15" w:rsidRDefault="009E2B15" w:rsidP="00154609">
      <w:pPr>
        <w:pStyle w:val="KeinLeerraum"/>
        <w:jc w:val="both"/>
        <w:rPr>
          <w:rFonts w:ascii="Verdana" w:hAnsi="Verdana"/>
        </w:rPr>
      </w:pPr>
    </w:p>
    <w:p w:rsidR="009E2B15" w:rsidRDefault="009E2B15" w:rsidP="00154609">
      <w:pPr>
        <w:pStyle w:val="KeinLeerraum"/>
        <w:jc w:val="both"/>
        <w:rPr>
          <w:rFonts w:ascii="Verdana" w:hAnsi="Verdana"/>
        </w:rPr>
      </w:pPr>
      <w:r w:rsidRPr="00FF28E9">
        <w:rPr>
          <w:rFonts w:ascii="Verdana" w:hAnsi="Verdana"/>
        </w:rPr>
        <w:t>Im Zuge der Bauwasserhaltung</w:t>
      </w:r>
      <w:r w:rsidR="007B53E2">
        <w:rPr>
          <w:rFonts w:ascii="Verdana" w:hAnsi="Verdana"/>
        </w:rPr>
        <w:t xml:space="preserve"> sollen auf der Flurnummer 999, Gemarkung </w:t>
      </w:r>
      <w:proofErr w:type="spellStart"/>
      <w:r w:rsidR="007B53E2">
        <w:rPr>
          <w:rFonts w:ascii="Verdana" w:hAnsi="Verdana"/>
        </w:rPr>
        <w:t>Lindkirchen</w:t>
      </w:r>
      <w:proofErr w:type="spellEnd"/>
      <w:r w:rsidR="007B53E2">
        <w:rPr>
          <w:rFonts w:ascii="Verdana" w:hAnsi="Verdana"/>
        </w:rPr>
        <w:t>,</w:t>
      </w:r>
      <w:r w:rsidRPr="00FF28E9">
        <w:rPr>
          <w:rFonts w:ascii="Verdana" w:hAnsi="Verdana"/>
        </w:rPr>
        <w:t xml:space="preserve"> 4 Pumpensümpfe mit einer </w:t>
      </w:r>
      <w:r>
        <w:rPr>
          <w:rFonts w:ascii="Verdana" w:hAnsi="Verdana"/>
        </w:rPr>
        <w:t>Tiefe von ca. 7,0 m unter</w:t>
      </w:r>
      <w:r w:rsidRPr="00FF28E9">
        <w:rPr>
          <w:rFonts w:ascii="Verdana" w:hAnsi="Verdana"/>
        </w:rPr>
        <w:t>halb der Geländeoberkante errichtet werden. Der Grundwasserspiegel soll bis ca. 0,10 m unterhalb der geplanten maximalen Baugrubensohle auf 407,90 m ü. NN abgesenkt werden. Nach einer ausreichenden Sedimentationsphase im A</w:t>
      </w:r>
      <w:r>
        <w:rPr>
          <w:rFonts w:ascii="Verdana" w:hAnsi="Verdana"/>
        </w:rPr>
        <w:t>bsetzbecken sowie nach entspre</w:t>
      </w:r>
      <w:r w:rsidRPr="00FF28E9">
        <w:rPr>
          <w:rFonts w:ascii="Verdana" w:hAnsi="Verdana"/>
        </w:rPr>
        <w:t xml:space="preserve">chender Prüfung hinsichtlich Verunreinigungen kann, nach einer Sichtung, eine Einleitung in die </w:t>
      </w:r>
      <w:proofErr w:type="spellStart"/>
      <w:r w:rsidRPr="00FF28E9">
        <w:rPr>
          <w:rFonts w:ascii="Verdana" w:hAnsi="Verdana"/>
        </w:rPr>
        <w:t>Abens</w:t>
      </w:r>
      <w:proofErr w:type="spellEnd"/>
      <w:r w:rsidR="007B53E2">
        <w:rPr>
          <w:rFonts w:ascii="Verdana" w:hAnsi="Verdana"/>
        </w:rPr>
        <w:t xml:space="preserve"> bei Flurnummer 999, Gemarkung </w:t>
      </w:r>
      <w:proofErr w:type="spellStart"/>
      <w:r w:rsidR="007B53E2">
        <w:rPr>
          <w:rFonts w:ascii="Verdana" w:hAnsi="Verdana"/>
        </w:rPr>
        <w:t>Lindkirchen</w:t>
      </w:r>
      <w:proofErr w:type="spellEnd"/>
      <w:r w:rsidR="007B53E2">
        <w:rPr>
          <w:rFonts w:ascii="Verdana" w:hAnsi="Verdana"/>
        </w:rPr>
        <w:t>,</w:t>
      </w:r>
      <w:r w:rsidRPr="00FF28E9">
        <w:rPr>
          <w:rFonts w:ascii="Verdana" w:hAnsi="Verdana"/>
        </w:rPr>
        <w:t xml:space="preserve"> erfolgen. Es wird folgende Gesamtförder- und Einleitmenge veranschlagt: </w:t>
      </w:r>
    </w:p>
    <w:p w:rsidR="009E2B15" w:rsidRDefault="009E2B15" w:rsidP="00154609">
      <w:pPr>
        <w:pStyle w:val="KeinLeerraum"/>
        <w:jc w:val="both"/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E2B15" w:rsidTr="002C4AB9">
        <w:tc>
          <w:tcPr>
            <w:tcW w:w="1812" w:type="dxa"/>
          </w:tcPr>
          <w:p w:rsidR="009E2B15" w:rsidRDefault="009E2B15" w:rsidP="00154609">
            <w:pPr>
              <w:pStyle w:val="KeinLeerraum"/>
              <w:jc w:val="both"/>
              <w:rPr>
                <w:rFonts w:ascii="Verdana" w:hAnsi="Verdana"/>
              </w:rPr>
            </w:pPr>
          </w:p>
        </w:tc>
        <w:tc>
          <w:tcPr>
            <w:tcW w:w="1812" w:type="dxa"/>
          </w:tcPr>
          <w:p w:rsidR="009E2B15" w:rsidRDefault="009E2B15" w:rsidP="00154609">
            <w:pPr>
              <w:pStyle w:val="KeinLeerraum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Förderdauer</w:t>
            </w:r>
          </w:p>
        </w:tc>
        <w:tc>
          <w:tcPr>
            <w:tcW w:w="1812" w:type="dxa"/>
          </w:tcPr>
          <w:p w:rsidR="009E2B15" w:rsidRDefault="009E2B15" w:rsidP="00154609">
            <w:pPr>
              <w:pStyle w:val="KeinLeerraum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Fördermenge m3/h</w:t>
            </w:r>
          </w:p>
        </w:tc>
        <w:tc>
          <w:tcPr>
            <w:tcW w:w="1813" w:type="dxa"/>
          </w:tcPr>
          <w:p w:rsidR="009E2B15" w:rsidRDefault="009E2B15" w:rsidP="00154609">
            <w:pPr>
              <w:pStyle w:val="KeinLeerraum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Fördermenge pro Tag</w:t>
            </w:r>
          </w:p>
        </w:tc>
        <w:tc>
          <w:tcPr>
            <w:tcW w:w="1813" w:type="dxa"/>
          </w:tcPr>
          <w:p w:rsidR="009E2B15" w:rsidRDefault="009E2B15" w:rsidP="00154609">
            <w:pPr>
              <w:pStyle w:val="KeinLeerraum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Fördermenge gesamt</w:t>
            </w:r>
          </w:p>
        </w:tc>
      </w:tr>
      <w:tr w:rsidR="009E2B15" w:rsidTr="002C4AB9">
        <w:tc>
          <w:tcPr>
            <w:tcW w:w="1812" w:type="dxa"/>
          </w:tcPr>
          <w:p w:rsidR="009E2B15" w:rsidRDefault="009E2B15" w:rsidP="00154609">
            <w:pPr>
              <w:pStyle w:val="KeinLeerraum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Leerpumpen der </w:t>
            </w:r>
            <w:proofErr w:type="spellStart"/>
            <w:r>
              <w:rPr>
                <w:rFonts w:ascii="Verdana" w:hAnsi="Verdana"/>
              </w:rPr>
              <w:t>Baugrupe</w:t>
            </w:r>
            <w:proofErr w:type="spellEnd"/>
          </w:p>
        </w:tc>
        <w:tc>
          <w:tcPr>
            <w:tcW w:w="1812" w:type="dxa"/>
          </w:tcPr>
          <w:p w:rsidR="009E2B15" w:rsidRDefault="009E2B15" w:rsidP="00154609">
            <w:pPr>
              <w:pStyle w:val="KeinLeerraum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Ca. 13 Stunden</w:t>
            </w:r>
          </w:p>
        </w:tc>
        <w:tc>
          <w:tcPr>
            <w:tcW w:w="1812" w:type="dxa"/>
          </w:tcPr>
          <w:p w:rsidR="009E2B15" w:rsidRDefault="009E2B15" w:rsidP="00154609">
            <w:pPr>
              <w:pStyle w:val="KeinLeerraum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120,00</w:t>
            </w:r>
          </w:p>
        </w:tc>
        <w:tc>
          <w:tcPr>
            <w:tcW w:w="1813" w:type="dxa"/>
          </w:tcPr>
          <w:p w:rsidR="009E2B15" w:rsidRDefault="009E2B15" w:rsidP="00154609">
            <w:pPr>
              <w:pStyle w:val="KeinLeerraum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1590 m3</w:t>
            </w:r>
          </w:p>
        </w:tc>
        <w:tc>
          <w:tcPr>
            <w:tcW w:w="1813" w:type="dxa"/>
          </w:tcPr>
          <w:p w:rsidR="009E2B15" w:rsidRDefault="009E2B15" w:rsidP="00154609">
            <w:pPr>
              <w:pStyle w:val="KeinLeerraum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1.590 m3</w:t>
            </w:r>
          </w:p>
        </w:tc>
      </w:tr>
      <w:tr w:rsidR="009E2B15" w:rsidTr="002C4AB9">
        <w:tc>
          <w:tcPr>
            <w:tcW w:w="1812" w:type="dxa"/>
          </w:tcPr>
          <w:p w:rsidR="009E2B15" w:rsidRDefault="009E2B15" w:rsidP="00154609">
            <w:pPr>
              <w:pStyle w:val="KeinLeerraum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Trockenhaltung der Baugrube</w:t>
            </w:r>
          </w:p>
        </w:tc>
        <w:tc>
          <w:tcPr>
            <w:tcW w:w="1812" w:type="dxa"/>
          </w:tcPr>
          <w:p w:rsidR="009E2B15" w:rsidRDefault="009E2B15" w:rsidP="00154609">
            <w:pPr>
              <w:pStyle w:val="KeinLeerraum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 Wochen; 217 Tage</w:t>
            </w:r>
          </w:p>
        </w:tc>
        <w:tc>
          <w:tcPr>
            <w:tcW w:w="1812" w:type="dxa"/>
          </w:tcPr>
          <w:p w:rsidR="009E2B15" w:rsidRDefault="009E2B15" w:rsidP="00154609">
            <w:pPr>
              <w:pStyle w:val="KeinLeerraum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25,60</w:t>
            </w:r>
          </w:p>
        </w:tc>
        <w:tc>
          <w:tcPr>
            <w:tcW w:w="1813" w:type="dxa"/>
          </w:tcPr>
          <w:p w:rsidR="009E2B15" w:rsidRDefault="009E2B15" w:rsidP="00154609">
            <w:pPr>
              <w:pStyle w:val="KeinLeerraum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614,40 m3/Tag</w:t>
            </w:r>
          </w:p>
        </w:tc>
        <w:tc>
          <w:tcPr>
            <w:tcW w:w="1813" w:type="dxa"/>
          </w:tcPr>
          <w:p w:rsidR="009E2B15" w:rsidRDefault="009E2B15" w:rsidP="00154609">
            <w:pPr>
              <w:pStyle w:val="KeinLeerraum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133.325 m3</w:t>
            </w:r>
          </w:p>
          <w:p w:rsidR="009E2B15" w:rsidRDefault="009E2B15" w:rsidP="00154609">
            <w:pPr>
              <w:pStyle w:val="KeinLeerraum"/>
              <w:jc w:val="both"/>
              <w:rPr>
                <w:rFonts w:ascii="Verdana" w:hAnsi="Verdana"/>
              </w:rPr>
            </w:pPr>
          </w:p>
        </w:tc>
      </w:tr>
    </w:tbl>
    <w:p w:rsidR="009E2B15" w:rsidRDefault="009E2B15" w:rsidP="00154609">
      <w:pPr>
        <w:pStyle w:val="KeinLeerraum"/>
        <w:jc w:val="both"/>
        <w:rPr>
          <w:rFonts w:ascii="Verdana" w:hAnsi="Verdana"/>
        </w:rPr>
      </w:pPr>
    </w:p>
    <w:p w:rsidR="007B53E2" w:rsidRDefault="007B53E2" w:rsidP="00154609">
      <w:pPr>
        <w:pStyle w:val="KeinLeerraum"/>
        <w:jc w:val="both"/>
        <w:rPr>
          <w:rFonts w:ascii="Verdana" w:hAnsi="Verdana"/>
        </w:rPr>
      </w:pPr>
    </w:p>
    <w:p w:rsidR="009E2B15" w:rsidRPr="00372451" w:rsidRDefault="009E2B15" w:rsidP="00154609">
      <w:pPr>
        <w:pStyle w:val="KeinLeerraum"/>
        <w:jc w:val="both"/>
        <w:rPr>
          <w:rFonts w:ascii="Verdana" w:hAnsi="Verdana"/>
          <w:u w:val="single"/>
        </w:rPr>
      </w:pPr>
      <w:r w:rsidRPr="00372451">
        <w:rPr>
          <w:rFonts w:ascii="Verdana" w:hAnsi="Verdana"/>
          <w:u w:val="single"/>
        </w:rPr>
        <w:t>Standort des Vorhabens</w:t>
      </w:r>
    </w:p>
    <w:p w:rsidR="009E2B15" w:rsidRDefault="009E2B15" w:rsidP="00154609">
      <w:pPr>
        <w:pStyle w:val="KeinLeerraum"/>
        <w:jc w:val="both"/>
        <w:rPr>
          <w:rFonts w:ascii="Verdana" w:hAnsi="Verdana"/>
        </w:rPr>
      </w:pPr>
    </w:p>
    <w:p w:rsidR="009E2B15" w:rsidRDefault="007B53E2" w:rsidP="00154609">
      <w:pPr>
        <w:pStyle w:val="KeinLeerraum"/>
        <w:jc w:val="both"/>
        <w:rPr>
          <w:rFonts w:ascii="Verdana" w:hAnsi="Verdana"/>
        </w:rPr>
      </w:pPr>
      <w:r>
        <w:rPr>
          <w:rFonts w:ascii="Verdana" w:hAnsi="Verdana"/>
        </w:rPr>
        <w:t>Der Standort des Vorhabens ist insbesondere unter Berücksichtigung der in Anlage 3 Nr. 2.3 des UVPG aufgeführten Schutzkriterien hinsichtlich seiner besonderen ökologischen Empfindlichkeit überschlägig zu beurteilen.</w:t>
      </w:r>
    </w:p>
    <w:p w:rsidR="009E2B15" w:rsidRPr="002A7F2C" w:rsidRDefault="009E2B15" w:rsidP="00154609">
      <w:pPr>
        <w:pStyle w:val="KeinLeerraum"/>
        <w:jc w:val="both"/>
        <w:rPr>
          <w:rFonts w:ascii="Verdana" w:hAnsi="Verdana"/>
          <w:u w:val="single"/>
        </w:rPr>
      </w:pPr>
      <w:r w:rsidRPr="002A7F2C">
        <w:rPr>
          <w:rFonts w:ascii="Verdana" w:hAnsi="Verdana"/>
          <w:u w:val="single"/>
        </w:rPr>
        <w:t>Erhebliche, nachteilige Auswirkungen auf die Belange des Naturschutzes und der Landschaftspflege sind durch das Vorhaben nicht zu erwarten.</w:t>
      </w:r>
    </w:p>
    <w:p w:rsidR="002A7F2C" w:rsidRDefault="002A7F2C" w:rsidP="00154609">
      <w:pPr>
        <w:pStyle w:val="KeinLeerraum"/>
        <w:jc w:val="both"/>
        <w:rPr>
          <w:rFonts w:ascii="Verdana" w:hAnsi="Verdana"/>
        </w:rPr>
      </w:pPr>
    </w:p>
    <w:p w:rsidR="002A7F2C" w:rsidRPr="002A7F2C" w:rsidRDefault="002A7F2C" w:rsidP="00154609">
      <w:pPr>
        <w:pStyle w:val="KeinLeerraum"/>
        <w:numPr>
          <w:ilvl w:val="0"/>
          <w:numId w:val="5"/>
        </w:numPr>
        <w:jc w:val="both"/>
        <w:rPr>
          <w:rFonts w:ascii="Verdana" w:hAnsi="Verdana"/>
        </w:rPr>
      </w:pPr>
      <w:r w:rsidRPr="002A7F2C">
        <w:rPr>
          <w:rFonts w:ascii="Verdana" w:hAnsi="Verdana"/>
        </w:rPr>
        <w:lastRenderedPageBreak/>
        <w:t>Das Gebiet liegt nicht in einem Schutzgebiet nach den Naturschutzgesetzen und weist keine gesetzlich geschützten Landschaftsbestandteile auf.</w:t>
      </w:r>
    </w:p>
    <w:p w:rsidR="002A7F2C" w:rsidRPr="002A7F2C" w:rsidRDefault="002A7F2C" w:rsidP="00154609">
      <w:pPr>
        <w:pStyle w:val="Listenabsatz"/>
        <w:numPr>
          <w:ilvl w:val="0"/>
          <w:numId w:val="5"/>
        </w:numPr>
        <w:jc w:val="both"/>
        <w:rPr>
          <w:rFonts w:ascii="Verdana" w:hAnsi="Verdana"/>
        </w:rPr>
      </w:pPr>
      <w:r w:rsidRPr="002A7F2C">
        <w:rPr>
          <w:rFonts w:ascii="Verdana" w:hAnsi="Verdana"/>
        </w:rPr>
        <w:t>Der räumliche Umgriff des Vorhabens ist begrenzt</w:t>
      </w:r>
      <w:r>
        <w:rPr>
          <w:rFonts w:ascii="Verdana" w:hAnsi="Verdana"/>
        </w:rPr>
        <w:t>.</w:t>
      </w:r>
    </w:p>
    <w:p w:rsidR="002A7F2C" w:rsidRPr="002A7F2C" w:rsidRDefault="002A7F2C" w:rsidP="00154609">
      <w:pPr>
        <w:pStyle w:val="Listenabsatz"/>
        <w:numPr>
          <w:ilvl w:val="0"/>
          <w:numId w:val="5"/>
        </w:numPr>
        <w:jc w:val="both"/>
        <w:rPr>
          <w:rFonts w:ascii="Verdana" w:hAnsi="Verdana"/>
        </w:rPr>
      </w:pPr>
      <w:r w:rsidRPr="002A7F2C">
        <w:rPr>
          <w:rFonts w:ascii="Verdana" w:hAnsi="Verdana"/>
        </w:rPr>
        <w:t xml:space="preserve">Die Emissionen sowie die stofflichen Belastungen der </w:t>
      </w:r>
      <w:proofErr w:type="spellStart"/>
      <w:r w:rsidRPr="002A7F2C">
        <w:rPr>
          <w:rFonts w:ascii="Verdana" w:hAnsi="Verdana"/>
        </w:rPr>
        <w:t>Abens</w:t>
      </w:r>
      <w:proofErr w:type="spellEnd"/>
      <w:r w:rsidRPr="002A7F2C">
        <w:rPr>
          <w:rFonts w:ascii="Verdana" w:hAnsi="Verdana"/>
        </w:rPr>
        <w:t xml:space="preserve"> erfahren keine nennenswerten Veränderungen.</w:t>
      </w:r>
    </w:p>
    <w:p w:rsidR="002A7F2C" w:rsidRPr="002A7F2C" w:rsidRDefault="002A7F2C" w:rsidP="00154609">
      <w:pPr>
        <w:pStyle w:val="Listenabsatz"/>
        <w:numPr>
          <w:ilvl w:val="0"/>
          <w:numId w:val="5"/>
        </w:numPr>
        <w:jc w:val="both"/>
        <w:rPr>
          <w:rFonts w:ascii="Verdana" w:hAnsi="Verdana"/>
        </w:rPr>
      </w:pPr>
      <w:r w:rsidRPr="002A7F2C">
        <w:rPr>
          <w:rFonts w:ascii="Verdana" w:hAnsi="Verdana"/>
        </w:rPr>
        <w:t>Konflikte mit gesetzlichem Biotopschutz sowie dem Schutz von Lebensstätten können durch geeignete Vermeidungs- und Ausgleichsmaßnahmen ausgeschlossen werden</w:t>
      </w:r>
      <w:r>
        <w:rPr>
          <w:rFonts w:ascii="Verdana" w:hAnsi="Verdana"/>
        </w:rPr>
        <w:t>.</w:t>
      </w:r>
    </w:p>
    <w:p w:rsidR="002A7F2C" w:rsidRPr="002A7F2C" w:rsidRDefault="002A7F2C" w:rsidP="00154609">
      <w:pPr>
        <w:pStyle w:val="Listenabsatz"/>
        <w:numPr>
          <w:ilvl w:val="0"/>
          <w:numId w:val="5"/>
        </w:numPr>
        <w:jc w:val="both"/>
        <w:rPr>
          <w:rFonts w:ascii="Verdana" w:hAnsi="Verdana"/>
        </w:rPr>
      </w:pPr>
      <w:r w:rsidRPr="002A7F2C">
        <w:rPr>
          <w:rFonts w:ascii="Verdana" w:hAnsi="Verdana"/>
        </w:rPr>
        <w:t>Artenschutzrechtliche Konflikte können durch geeignete Vermeidungs- und Ausgleichsmaßnahmen ausgeschlossen werden</w:t>
      </w:r>
      <w:r>
        <w:rPr>
          <w:rFonts w:ascii="Verdana" w:hAnsi="Verdana"/>
        </w:rPr>
        <w:t>.</w:t>
      </w:r>
    </w:p>
    <w:p w:rsidR="00154609" w:rsidRDefault="00154609" w:rsidP="00154609">
      <w:pPr>
        <w:pStyle w:val="KeinLeerraum"/>
        <w:jc w:val="both"/>
        <w:rPr>
          <w:rFonts w:ascii="Verdana" w:hAnsi="Verdana"/>
          <w:u w:val="single"/>
        </w:rPr>
      </w:pPr>
    </w:p>
    <w:p w:rsidR="00154609" w:rsidRDefault="00154609" w:rsidP="00154609">
      <w:pPr>
        <w:pStyle w:val="KeinLeerraum"/>
        <w:jc w:val="both"/>
        <w:rPr>
          <w:rFonts w:ascii="Verdana" w:hAnsi="Verdana"/>
          <w:u w:val="single"/>
        </w:rPr>
      </w:pPr>
    </w:p>
    <w:p w:rsidR="00EE06DA" w:rsidRPr="002F31BA" w:rsidRDefault="002A7F2C" w:rsidP="00154609">
      <w:pPr>
        <w:pStyle w:val="KeinLeerraum"/>
        <w:jc w:val="both"/>
        <w:rPr>
          <w:rFonts w:ascii="Verdana" w:hAnsi="Verdana"/>
          <w:u w:val="single"/>
        </w:rPr>
      </w:pPr>
      <w:r w:rsidRPr="002F31BA">
        <w:rPr>
          <w:rFonts w:ascii="Verdana" w:hAnsi="Verdana"/>
          <w:u w:val="single"/>
        </w:rPr>
        <w:t>Erhebliche, nachteilige Auswirkungen auf die Belange der Wasserwirtschaft sind durch das Vorhaben ebenfalls nicht zu erwarten.</w:t>
      </w:r>
    </w:p>
    <w:p w:rsidR="002A7F2C" w:rsidRDefault="002A7F2C" w:rsidP="00154609">
      <w:pPr>
        <w:pStyle w:val="KeinLeerraum"/>
        <w:jc w:val="both"/>
        <w:rPr>
          <w:rFonts w:ascii="Verdana" w:hAnsi="Verdana"/>
        </w:rPr>
      </w:pPr>
    </w:p>
    <w:p w:rsidR="007B53E2" w:rsidRDefault="007B53E2" w:rsidP="007B53E2">
      <w:pPr>
        <w:pStyle w:val="KeinLeerraum"/>
        <w:numPr>
          <w:ilvl w:val="0"/>
          <w:numId w:val="5"/>
        </w:numPr>
        <w:jc w:val="both"/>
        <w:rPr>
          <w:rFonts w:ascii="Verdana" w:hAnsi="Verdana"/>
        </w:rPr>
      </w:pPr>
      <w:r>
        <w:rPr>
          <w:rFonts w:ascii="Verdana" w:hAnsi="Verdana"/>
        </w:rPr>
        <w:t>Wasserschutzgebiete nach § 51</w:t>
      </w:r>
      <w:r w:rsidR="002A6C18">
        <w:rPr>
          <w:rFonts w:ascii="Verdana" w:hAnsi="Verdana"/>
        </w:rPr>
        <w:t xml:space="preserve"> Wasserhaushaltsgesetz</w:t>
      </w:r>
      <w:r>
        <w:rPr>
          <w:rFonts w:ascii="Verdana" w:hAnsi="Verdana"/>
        </w:rPr>
        <w:t xml:space="preserve"> </w:t>
      </w:r>
      <w:r w:rsidR="002A6C18">
        <w:rPr>
          <w:rFonts w:ascii="Verdana" w:hAnsi="Verdana"/>
        </w:rPr>
        <w:t>(</w:t>
      </w:r>
      <w:r>
        <w:rPr>
          <w:rFonts w:ascii="Verdana" w:hAnsi="Verdana"/>
        </w:rPr>
        <w:t>WHG</w:t>
      </w:r>
      <w:r w:rsidR="002A6C18">
        <w:rPr>
          <w:rFonts w:ascii="Verdana" w:hAnsi="Verdana"/>
        </w:rPr>
        <w:t>)</w:t>
      </w:r>
      <w:r>
        <w:rPr>
          <w:rFonts w:ascii="Verdana" w:hAnsi="Verdana"/>
        </w:rPr>
        <w:t>, Heilquellenschutzgebiete nach § 53 Abs. 4 WHG sowie Risikogebiete nach § 73 Abs. 1 WHG sind nicht betroffen.</w:t>
      </w:r>
    </w:p>
    <w:p w:rsidR="007B53E2" w:rsidRDefault="007B53E2" w:rsidP="007B53E2">
      <w:pPr>
        <w:pStyle w:val="KeinLeerraum"/>
        <w:numPr>
          <w:ilvl w:val="0"/>
          <w:numId w:val="5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Das Vorhaben liegt im Überschwemmungsgebiet der </w:t>
      </w:r>
      <w:proofErr w:type="spellStart"/>
      <w:r>
        <w:rPr>
          <w:rFonts w:ascii="Verdana" w:hAnsi="Verdana"/>
        </w:rPr>
        <w:t>Abens</w:t>
      </w:r>
      <w:proofErr w:type="spellEnd"/>
      <w:r>
        <w:rPr>
          <w:rFonts w:ascii="Verdana" w:hAnsi="Verdana"/>
        </w:rPr>
        <w:t xml:space="preserve"> nach § 76 Abs. 1 WHG.</w:t>
      </w:r>
    </w:p>
    <w:p w:rsidR="007B53E2" w:rsidRDefault="007B53E2" w:rsidP="00154609">
      <w:pPr>
        <w:pStyle w:val="KeinLeerraum"/>
        <w:jc w:val="both"/>
        <w:rPr>
          <w:rFonts w:ascii="Verdana" w:hAnsi="Verdana"/>
        </w:rPr>
      </w:pPr>
    </w:p>
    <w:p w:rsidR="002F31BA" w:rsidRDefault="002F31BA" w:rsidP="00154609">
      <w:pPr>
        <w:pStyle w:val="KeinLeerraum"/>
        <w:jc w:val="both"/>
        <w:rPr>
          <w:rFonts w:ascii="Verdana" w:hAnsi="Verdana"/>
        </w:rPr>
      </w:pPr>
      <w:r w:rsidRPr="002F31BA">
        <w:rPr>
          <w:rFonts w:ascii="Verdana" w:hAnsi="Verdana"/>
        </w:rPr>
        <w:t>Die Dimensionierung der geplanten Bauwerke ist im Verhältnis zum Grundwasserleiter und angesichts der vorliegenden Untergrundverhältnisse kleinteilig und greift nur minimal in den Grundwasserleiter ein. Die Auswirkungen auf den Grundw</w:t>
      </w:r>
      <w:r>
        <w:rPr>
          <w:rFonts w:ascii="Verdana" w:hAnsi="Verdana"/>
        </w:rPr>
        <w:t>asserstrom sind auch bei jahres</w:t>
      </w:r>
      <w:r w:rsidRPr="002F31BA">
        <w:rPr>
          <w:rFonts w:ascii="Verdana" w:hAnsi="Verdana"/>
        </w:rPr>
        <w:t>zeitlich oder witterungsbedingten höheren Grundwasser</w:t>
      </w:r>
      <w:r>
        <w:rPr>
          <w:rFonts w:ascii="Verdana" w:hAnsi="Verdana"/>
        </w:rPr>
        <w:t xml:space="preserve">ständen als gering zu bewerten. </w:t>
      </w:r>
    </w:p>
    <w:p w:rsidR="004D1B1B" w:rsidRDefault="002F31BA" w:rsidP="00154609">
      <w:pPr>
        <w:pStyle w:val="KeinLeerraum"/>
        <w:jc w:val="both"/>
        <w:rPr>
          <w:rFonts w:ascii="Verdana" w:hAnsi="Verdana"/>
        </w:rPr>
      </w:pPr>
      <w:r w:rsidRPr="002F31BA">
        <w:rPr>
          <w:rFonts w:ascii="Verdana" w:hAnsi="Verdana"/>
        </w:rPr>
        <w:t xml:space="preserve">Durch die Einleitung des anfallenden Grund- und Schichtwassers in die </w:t>
      </w:r>
      <w:proofErr w:type="spellStart"/>
      <w:r w:rsidRPr="002F31BA">
        <w:rPr>
          <w:rFonts w:ascii="Verdana" w:hAnsi="Verdana"/>
        </w:rPr>
        <w:t>Abens</w:t>
      </w:r>
      <w:proofErr w:type="spellEnd"/>
      <w:r w:rsidRPr="002F31BA">
        <w:rPr>
          <w:rFonts w:ascii="Verdana" w:hAnsi="Verdana"/>
        </w:rPr>
        <w:t xml:space="preserve"> sind nach</w:t>
      </w:r>
      <w:r w:rsidR="00CF5949">
        <w:rPr>
          <w:rFonts w:ascii="Verdana" w:hAnsi="Verdana"/>
        </w:rPr>
        <w:t xml:space="preserve"> den vorliegenden Erkenntnissen</w:t>
      </w:r>
      <w:r w:rsidRPr="002F31BA">
        <w:rPr>
          <w:rFonts w:ascii="Verdana" w:hAnsi="Verdana"/>
        </w:rPr>
        <w:t xml:space="preserve"> sowie unter Beachtung der erfo</w:t>
      </w:r>
      <w:r>
        <w:rPr>
          <w:rFonts w:ascii="Verdana" w:hAnsi="Verdana"/>
        </w:rPr>
        <w:t>rderlichen Auflagen, keine nega</w:t>
      </w:r>
      <w:r w:rsidRPr="002F31BA">
        <w:rPr>
          <w:rFonts w:ascii="Verdana" w:hAnsi="Verdana"/>
        </w:rPr>
        <w:t>tiven Auswirkungen zu erwarten. Es handelt sich um die</w:t>
      </w:r>
      <w:r>
        <w:rPr>
          <w:rFonts w:ascii="Verdana" w:hAnsi="Verdana"/>
        </w:rPr>
        <w:t xml:space="preserve"> Einleitung von Grundwasser wel</w:t>
      </w:r>
      <w:r w:rsidRPr="002F31BA">
        <w:rPr>
          <w:rFonts w:ascii="Verdana" w:hAnsi="Verdana"/>
        </w:rPr>
        <w:t xml:space="preserve">ches ohnehin in Richtung </w:t>
      </w:r>
      <w:proofErr w:type="spellStart"/>
      <w:r w:rsidRPr="002F31BA">
        <w:rPr>
          <w:rFonts w:ascii="Verdana" w:hAnsi="Verdana"/>
        </w:rPr>
        <w:t>Abens</w:t>
      </w:r>
      <w:proofErr w:type="spellEnd"/>
      <w:r w:rsidRPr="002F31BA">
        <w:rPr>
          <w:rFonts w:ascii="Verdana" w:hAnsi="Verdana"/>
        </w:rPr>
        <w:t xml:space="preserve"> strömt.</w:t>
      </w:r>
    </w:p>
    <w:p w:rsidR="002F31BA" w:rsidRDefault="002F31BA" w:rsidP="00154609">
      <w:pPr>
        <w:pStyle w:val="KeinLeerraum"/>
        <w:jc w:val="both"/>
        <w:rPr>
          <w:rFonts w:ascii="Verdana" w:hAnsi="Verdana"/>
        </w:rPr>
      </w:pPr>
    </w:p>
    <w:p w:rsidR="00154609" w:rsidRDefault="00154609" w:rsidP="00154609">
      <w:pPr>
        <w:pStyle w:val="KeinLeerraum"/>
        <w:jc w:val="both"/>
        <w:rPr>
          <w:rFonts w:ascii="Verdana" w:hAnsi="Verdana"/>
        </w:rPr>
      </w:pPr>
      <w:r>
        <w:rPr>
          <w:rFonts w:ascii="Verdana" w:hAnsi="Verdana"/>
        </w:rPr>
        <w:t>Das Gebiet hat keine hohe Bevölkerungsdichte, Baudenkmäler, Bodendenkmäler, Denkmalverdachtsflächen sind nicht erkennbar.</w:t>
      </w:r>
    </w:p>
    <w:p w:rsidR="00154609" w:rsidRDefault="00154609" w:rsidP="00154609">
      <w:pPr>
        <w:pStyle w:val="KeinLeerraum"/>
        <w:jc w:val="both"/>
        <w:rPr>
          <w:rFonts w:ascii="Verdana" w:hAnsi="Verdana"/>
        </w:rPr>
      </w:pPr>
    </w:p>
    <w:p w:rsidR="00154609" w:rsidRPr="002F31BA" w:rsidRDefault="00154609" w:rsidP="00154609">
      <w:pPr>
        <w:pStyle w:val="KeinLeerraum"/>
        <w:jc w:val="both"/>
        <w:rPr>
          <w:rFonts w:ascii="Verdana" w:hAnsi="Verdana"/>
        </w:rPr>
      </w:pPr>
      <w:r>
        <w:rPr>
          <w:rFonts w:ascii="Verdana" w:hAnsi="Verdana"/>
        </w:rPr>
        <w:t>Diese Feststellung – in einem gesonderten Aktenvermerk festgehalten – wird hiermit gemäß § 5 Abs. 2 UVPG bekanntgemacht. Sie ist nicht selbstständig anfechtbar (§ 5 Abs. 3 Satz 1 UVPG).</w:t>
      </w:r>
    </w:p>
    <w:p w:rsidR="004D1B1B" w:rsidRDefault="004D1B1B" w:rsidP="00154609">
      <w:pPr>
        <w:pStyle w:val="KeinLeerraum"/>
        <w:jc w:val="both"/>
        <w:rPr>
          <w:rFonts w:ascii="Verdana" w:hAnsi="Verdana"/>
        </w:rPr>
      </w:pPr>
    </w:p>
    <w:p w:rsidR="00154609" w:rsidRDefault="00154609" w:rsidP="00154609">
      <w:pPr>
        <w:pStyle w:val="KeinLeerraum"/>
        <w:jc w:val="both"/>
        <w:rPr>
          <w:rFonts w:ascii="Verdana" w:hAnsi="Verdana"/>
        </w:rPr>
      </w:pPr>
    </w:p>
    <w:p w:rsidR="004D1B1B" w:rsidRDefault="007B53E2" w:rsidP="00154609">
      <w:pPr>
        <w:pStyle w:val="KeinLeerraum"/>
        <w:jc w:val="both"/>
        <w:rPr>
          <w:rFonts w:ascii="Verdana" w:hAnsi="Verdana"/>
        </w:rPr>
      </w:pPr>
      <w:r>
        <w:rPr>
          <w:rFonts w:ascii="Verdana" w:hAnsi="Verdana"/>
        </w:rPr>
        <w:t>Kelheim, 11.05</w:t>
      </w:r>
      <w:r w:rsidR="004D1B1B">
        <w:rPr>
          <w:rFonts w:ascii="Verdana" w:hAnsi="Verdana"/>
        </w:rPr>
        <w:t>.2022</w:t>
      </w:r>
    </w:p>
    <w:p w:rsidR="004D1B1B" w:rsidRDefault="004D1B1B" w:rsidP="00154609">
      <w:pPr>
        <w:pStyle w:val="KeinLeerraum"/>
        <w:jc w:val="both"/>
        <w:rPr>
          <w:rFonts w:ascii="Verdana" w:hAnsi="Verdana"/>
        </w:rPr>
      </w:pPr>
      <w:r>
        <w:rPr>
          <w:rFonts w:ascii="Verdana" w:hAnsi="Verdana"/>
        </w:rPr>
        <w:t>Landratsamt</w:t>
      </w:r>
    </w:p>
    <w:p w:rsidR="004D1B1B" w:rsidRDefault="004D1B1B" w:rsidP="00154609">
      <w:pPr>
        <w:pStyle w:val="KeinLeerraum"/>
        <w:jc w:val="both"/>
        <w:rPr>
          <w:rFonts w:ascii="Verdana" w:hAnsi="Verdana"/>
        </w:rPr>
      </w:pPr>
    </w:p>
    <w:p w:rsidR="00154609" w:rsidRDefault="002A6C18" w:rsidP="00154609">
      <w:pPr>
        <w:pStyle w:val="KeinLeerraum"/>
        <w:jc w:val="both"/>
        <w:rPr>
          <w:rFonts w:ascii="Verdana" w:hAnsi="Verdana"/>
        </w:rPr>
      </w:pPr>
      <w:r>
        <w:rPr>
          <w:rFonts w:ascii="Verdana" w:hAnsi="Verdana"/>
        </w:rPr>
        <w:t>g</w:t>
      </w:r>
      <w:bookmarkStart w:id="0" w:name="_GoBack"/>
      <w:bookmarkEnd w:id="0"/>
      <w:r>
        <w:rPr>
          <w:rFonts w:ascii="Verdana" w:hAnsi="Verdana"/>
        </w:rPr>
        <w:t>ez.</w:t>
      </w:r>
    </w:p>
    <w:p w:rsidR="002A6C18" w:rsidRDefault="002A6C18" w:rsidP="00154609">
      <w:pPr>
        <w:pStyle w:val="KeinLeerraum"/>
        <w:jc w:val="both"/>
        <w:rPr>
          <w:rFonts w:ascii="Verdana" w:hAnsi="Verdana"/>
        </w:rPr>
      </w:pPr>
    </w:p>
    <w:p w:rsidR="004D1B1B" w:rsidRDefault="00154609" w:rsidP="00154609">
      <w:pPr>
        <w:pStyle w:val="KeinLeerraum"/>
        <w:jc w:val="both"/>
        <w:rPr>
          <w:rFonts w:ascii="Verdana" w:hAnsi="Verdana"/>
        </w:rPr>
      </w:pPr>
      <w:r>
        <w:rPr>
          <w:rFonts w:ascii="Verdana" w:hAnsi="Verdana"/>
        </w:rPr>
        <w:t>Ferch</w:t>
      </w:r>
    </w:p>
    <w:p w:rsidR="00154609" w:rsidRDefault="00154609" w:rsidP="00154609">
      <w:pPr>
        <w:pStyle w:val="KeinLeerraum"/>
        <w:jc w:val="both"/>
        <w:rPr>
          <w:rFonts w:ascii="Verdana" w:hAnsi="Verdana"/>
        </w:rPr>
      </w:pPr>
      <w:r>
        <w:rPr>
          <w:rFonts w:ascii="Verdana" w:hAnsi="Verdana"/>
        </w:rPr>
        <w:t>Regierungsrat</w:t>
      </w:r>
    </w:p>
    <w:p w:rsidR="007B53E2" w:rsidRDefault="007B53E2" w:rsidP="00154609">
      <w:pPr>
        <w:pStyle w:val="KeinLeerraum"/>
        <w:jc w:val="both"/>
        <w:rPr>
          <w:rFonts w:ascii="Verdana" w:hAnsi="Verdana"/>
        </w:rPr>
      </w:pPr>
    </w:p>
    <w:p w:rsidR="004D1B1B" w:rsidRPr="004D1B1B" w:rsidRDefault="004D1B1B" w:rsidP="004D1B1B">
      <w:pPr>
        <w:pStyle w:val="KeinLeerraum"/>
        <w:jc w:val="both"/>
        <w:rPr>
          <w:rFonts w:ascii="Verdana" w:hAnsi="Verdana"/>
        </w:rPr>
      </w:pPr>
    </w:p>
    <w:sectPr w:rsidR="004D1B1B" w:rsidRPr="004D1B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87BF2"/>
    <w:multiLevelType w:val="hybridMultilevel"/>
    <w:tmpl w:val="24AC2EF0"/>
    <w:lvl w:ilvl="0" w:tplc="80F25138">
      <w:numFmt w:val="bullet"/>
      <w:lvlText w:val="•"/>
      <w:lvlJc w:val="left"/>
      <w:pPr>
        <w:ind w:left="705" w:hanging="705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9D1398"/>
    <w:multiLevelType w:val="hybridMultilevel"/>
    <w:tmpl w:val="DCF097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53893"/>
    <w:multiLevelType w:val="hybridMultilevel"/>
    <w:tmpl w:val="3A3211E0"/>
    <w:lvl w:ilvl="0" w:tplc="81AC0ACE">
      <w:start w:val="13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F14D6"/>
    <w:multiLevelType w:val="hybridMultilevel"/>
    <w:tmpl w:val="F3D82628"/>
    <w:lvl w:ilvl="0" w:tplc="81AC0ACE">
      <w:start w:val="13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AF2"/>
    <w:rsid w:val="00154609"/>
    <w:rsid w:val="00212492"/>
    <w:rsid w:val="002213AC"/>
    <w:rsid w:val="002A6C18"/>
    <w:rsid w:val="002A7F2C"/>
    <w:rsid w:val="002F31BA"/>
    <w:rsid w:val="00372451"/>
    <w:rsid w:val="004D1B1B"/>
    <w:rsid w:val="007B53E2"/>
    <w:rsid w:val="007E51EA"/>
    <w:rsid w:val="009E2B15"/>
    <w:rsid w:val="00A22AF2"/>
    <w:rsid w:val="00A85F9F"/>
    <w:rsid w:val="00B44C9C"/>
    <w:rsid w:val="00CF5949"/>
    <w:rsid w:val="00EE06DA"/>
    <w:rsid w:val="00F1285D"/>
    <w:rsid w:val="00F925AA"/>
    <w:rsid w:val="00FF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457B0"/>
  <w15:chartTrackingRefBased/>
  <w15:docId w15:val="{7CEB1CA7-D3D5-4C59-BFB6-56029986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22AF2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FF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2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2B15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2A7F2C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4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88FD0-8886-4B5C-9A05-A3C0FF176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Kelheim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Seufert Thorsten</dc:creator>
  <cp:keywords/>
  <dc:description/>
  <cp:lastModifiedBy>Seufert Thorsten</cp:lastModifiedBy>
  <cp:revision>2</cp:revision>
  <cp:lastPrinted>2022-04-20T09:22:00Z</cp:lastPrinted>
  <dcterms:created xsi:type="dcterms:W3CDTF">2022-05-13T05:44:00Z</dcterms:created>
  <dcterms:modified xsi:type="dcterms:W3CDTF">2022-05-13T05:44:00Z</dcterms:modified>
</cp:coreProperties>
</file>