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A1C" w:rsidRPr="00D761E8" w:rsidRDefault="004A35F9" w:rsidP="00A62120">
      <w:pPr>
        <w:rPr>
          <w:rFonts w:eastAsia="Times New Roman" w:cs="Arial"/>
        </w:rPr>
      </w:pPr>
      <w:r>
        <w:rPr>
          <w:rFonts w:eastAsia="Times New Roman" w:cs="Arial"/>
        </w:rPr>
        <w:t>42-641/4/2/6-B256</w:t>
      </w:r>
    </w:p>
    <w:p w:rsidR="00294A1C" w:rsidRPr="00D761E8" w:rsidRDefault="00294A1C" w:rsidP="00A62120">
      <w:pPr>
        <w:rPr>
          <w:rFonts w:eastAsia="Times New Roman" w:cs="Arial"/>
        </w:rPr>
      </w:pPr>
    </w:p>
    <w:p w:rsidR="00294A1C" w:rsidRPr="00D761E8" w:rsidRDefault="00294A1C" w:rsidP="00A62120">
      <w:pPr>
        <w:rPr>
          <w:rFonts w:eastAsia="Times New Roman" w:cs="Arial"/>
        </w:rPr>
      </w:pPr>
    </w:p>
    <w:p w:rsidR="00294A1C" w:rsidRPr="00D761E8" w:rsidRDefault="00294A1C" w:rsidP="00A62120">
      <w:pPr>
        <w:rPr>
          <w:rFonts w:eastAsia="Times New Roman" w:cs="Arial"/>
        </w:rPr>
      </w:pPr>
      <w:r w:rsidRPr="00D761E8">
        <w:rPr>
          <w:rFonts w:eastAsia="Times New Roman" w:cs="Arial"/>
        </w:rPr>
        <w:t>Vollzug der Wassergesetze und des Gesetzes über die Umweltverträglichkeitsprüfung</w:t>
      </w:r>
    </w:p>
    <w:p w:rsidR="00294A1C" w:rsidRDefault="00294A1C" w:rsidP="00A62120">
      <w:pPr>
        <w:rPr>
          <w:rFonts w:cs="Arial"/>
        </w:rPr>
      </w:pPr>
      <w:r>
        <w:rPr>
          <w:rFonts w:cs="Arial"/>
        </w:rPr>
        <w:t>Wiedervernässung Königsauer Moos</w:t>
      </w:r>
    </w:p>
    <w:p w:rsidR="009D1E74" w:rsidRPr="00D761E8" w:rsidRDefault="009D1E74" w:rsidP="00A62120">
      <w:pPr>
        <w:rPr>
          <w:rFonts w:eastAsia="Times New Roman" w:cs="Arial"/>
        </w:rPr>
      </w:pPr>
    </w:p>
    <w:p w:rsidR="00294A1C" w:rsidRDefault="00294A1C" w:rsidP="00A62120">
      <w:pPr>
        <w:rPr>
          <w:rFonts w:eastAsia="Times New Roman" w:cs="Arial"/>
        </w:rPr>
      </w:pPr>
    </w:p>
    <w:p w:rsidR="00A62120" w:rsidRPr="00D761E8" w:rsidRDefault="00A62120" w:rsidP="00A62120">
      <w:pPr>
        <w:rPr>
          <w:rFonts w:eastAsia="Times New Roman" w:cs="Arial"/>
        </w:rPr>
      </w:pPr>
    </w:p>
    <w:p w:rsidR="00294A1C" w:rsidRPr="00D761E8" w:rsidRDefault="00294A1C" w:rsidP="00A62120">
      <w:pPr>
        <w:keepNext/>
        <w:jc w:val="center"/>
        <w:outlineLvl w:val="0"/>
        <w:rPr>
          <w:rFonts w:eastAsia="Times New Roman" w:cs="Arial"/>
          <w:b/>
          <w:u w:val="single"/>
          <w:lang w:eastAsia="de-DE"/>
        </w:rPr>
      </w:pPr>
      <w:r>
        <w:rPr>
          <w:rFonts w:eastAsia="Times New Roman" w:cs="Arial"/>
          <w:b/>
          <w:u w:val="single"/>
          <w:lang w:eastAsia="de-DE"/>
        </w:rPr>
        <w:t>Aktenvermerk</w:t>
      </w:r>
    </w:p>
    <w:p w:rsidR="00294A1C" w:rsidRDefault="00294A1C" w:rsidP="00A62120">
      <w:pPr>
        <w:rPr>
          <w:rFonts w:eastAsia="Times New Roman" w:cs="Arial"/>
        </w:rPr>
      </w:pPr>
    </w:p>
    <w:p w:rsidR="0078526A" w:rsidRPr="00D761E8" w:rsidRDefault="0078526A" w:rsidP="00A62120">
      <w:pPr>
        <w:rPr>
          <w:rFonts w:eastAsia="Times New Roman" w:cs="Arial"/>
        </w:rPr>
      </w:pPr>
    </w:p>
    <w:p w:rsidR="00294A1C" w:rsidRDefault="00294A1C" w:rsidP="00A62120">
      <w:pPr>
        <w:rPr>
          <w:rFonts w:cs="Arial"/>
        </w:rPr>
      </w:pPr>
      <w:r>
        <w:rPr>
          <w:rFonts w:cs="Arial"/>
        </w:rPr>
        <w:t xml:space="preserve">Der Landkreis Dingolfing-Landau </w:t>
      </w:r>
      <w:r w:rsidR="003F1F4A">
        <w:rPr>
          <w:rFonts w:cs="Arial"/>
        </w:rPr>
        <w:t xml:space="preserve">plant </w:t>
      </w:r>
      <w:r>
        <w:rPr>
          <w:rFonts w:cs="Arial"/>
        </w:rPr>
        <w:t>die Wiedervernässung eines Teilbereichs des Königsauer Mooses.</w:t>
      </w:r>
    </w:p>
    <w:p w:rsidR="00294A1C" w:rsidRPr="00294A1C" w:rsidRDefault="00294A1C" w:rsidP="00A62120">
      <w:pPr>
        <w:rPr>
          <w:rFonts w:cs="Arial"/>
        </w:rPr>
      </w:pPr>
      <w:r>
        <w:rPr>
          <w:rFonts w:cs="Arial"/>
        </w:rPr>
        <w:t xml:space="preserve">Hierzu soll ein Graben angestaut und ein Ableitungsgraben erstellt werden. Für die Herstellung des Ableitungsgrabens ist eine </w:t>
      </w:r>
      <w:r w:rsidRPr="00294A1C">
        <w:rPr>
          <w:rFonts w:cs="Arial"/>
        </w:rPr>
        <w:t>standortbezogene Vorprüfung durchzuführen (Nummer 13.18.2 der Anlage 1 zum UVPG, § 7 Abs. 2 UVPG).</w:t>
      </w:r>
    </w:p>
    <w:p w:rsidR="00294A1C" w:rsidRPr="00294A1C" w:rsidRDefault="00294A1C" w:rsidP="00A62120">
      <w:pPr>
        <w:rPr>
          <w:rFonts w:cs="Arial"/>
        </w:rPr>
      </w:pPr>
    </w:p>
    <w:p w:rsidR="00294A1C" w:rsidRDefault="00294A1C" w:rsidP="00A62120">
      <w:pPr>
        <w:rPr>
          <w:rFonts w:cs="Arial"/>
        </w:rPr>
      </w:pPr>
      <w:r w:rsidRPr="00294A1C">
        <w:rPr>
          <w:rFonts w:cs="Arial"/>
        </w:rPr>
        <w:t>Die Prüfung in der ersten Stufe hat gezeigt</w:t>
      </w:r>
      <w:r w:rsidR="005F49C5">
        <w:rPr>
          <w:rFonts w:cs="Arial"/>
        </w:rPr>
        <w:t xml:space="preserve">, dass das </w:t>
      </w:r>
      <w:proofErr w:type="spellStart"/>
      <w:r w:rsidR="005F49C5">
        <w:rPr>
          <w:rFonts w:cs="Arial"/>
        </w:rPr>
        <w:t>Vorhabensgebiet</w:t>
      </w:r>
      <w:proofErr w:type="spellEnd"/>
      <w:r w:rsidR="005F49C5">
        <w:rPr>
          <w:rFonts w:cs="Arial"/>
        </w:rPr>
        <w:t xml:space="preserve"> innerhalb des Vogelschutzgebietes „Wiesenbrütergebiet im Unteren Isartal“ und innerhalb des FFH-Gebietes „</w:t>
      </w:r>
      <w:proofErr w:type="spellStart"/>
      <w:r w:rsidR="005F49C5">
        <w:rPr>
          <w:rFonts w:cs="Arial"/>
        </w:rPr>
        <w:t>Mettenbacher</w:t>
      </w:r>
      <w:proofErr w:type="spellEnd"/>
      <w:r w:rsidR="005F49C5">
        <w:rPr>
          <w:rFonts w:cs="Arial"/>
        </w:rPr>
        <w:t xml:space="preserve">, </w:t>
      </w:r>
      <w:proofErr w:type="spellStart"/>
      <w:r w:rsidR="005F49C5">
        <w:rPr>
          <w:rFonts w:cs="Arial"/>
        </w:rPr>
        <w:t>Grießenbacher</w:t>
      </w:r>
      <w:proofErr w:type="spellEnd"/>
      <w:r w:rsidR="005F49C5">
        <w:rPr>
          <w:rFonts w:cs="Arial"/>
        </w:rPr>
        <w:t xml:space="preserve"> und Königsauer Moos (Unteres Isartal)“ liegt. Ferner </w:t>
      </w:r>
      <w:r w:rsidR="00A62120">
        <w:rPr>
          <w:rFonts w:cs="Arial"/>
        </w:rPr>
        <w:t xml:space="preserve">befinden </w:t>
      </w:r>
      <w:r w:rsidR="005F49C5">
        <w:rPr>
          <w:rFonts w:cs="Arial"/>
        </w:rPr>
        <w:t xml:space="preserve">sich innerhalb des </w:t>
      </w:r>
      <w:proofErr w:type="spellStart"/>
      <w:r w:rsidR="005F49C5">
        <w:rPr>
          <w:rFonts w:cs="Arial"/>
        </w:rPr>
        <w:t>Vorhabensgebietes</w:t>
      </w:r>
      <w:proofErr w:type="spellEnd"/>
      <w:r w:rsidR="005F49C5">
        <w:rPr>
          <w:rFonts w:cs="Arial"/>
        </w:rPr>
        <w:t xml:space="preserve"> mehrere gesetzlich geschützte Biotope.</w:t>
      </w:r>
    </w:p>
    <w:p w:rsidR="00984FD8" w:rsidRDefault="00984FD8" w:rsidP="00A62120"/>
    <w:p w:rsidR="005365C3" w:rsidRPr="00D87937" w:rsidRDefault="005365C3" w:rsidP="00A62120">
      <w:pPr>
        <w:rPr>
          <w:rFonts w:cs="Arial"/>
        </w:rPr>
      </w:pPr>
      <w:r w:rsidRPr="00D87937">
        <w:rPr>
          <w:rFonts w:cs="Arial"/>
        </w:rPr>
        <w:t xml:space="preserve">Die Prüfung auf der zweiten Stufe hat ergeben, dass das Vorhaben unter Berücksichtigung der in Anlage 3 zum UVPG aufgeführten Kriterien keine erheblichen nachteiligen Auswirkungen haben kann, die die besondere Empfindlichkeit oder die Schutzziele des Gebietes betreffen und nach § 25 Abs. 2 UVPG bei der Zulassungsentscheidung zu berücksichtigen wären. </w:t>
      </w:r>
    </w:p>
    <w:p w:rsidR="005365C3" w:rsidRDefault="005365C3" w:rsidP="00A62120">
      <w:pPr>
        <w:rPr>
          <w:rFonts w:cs="Arial"/>
        </w:rPr>
      </w:pPr>
    </w:p>
    <w:p w:rsidR="005365C3" w:rsidRPr="00804F98" w:rsidRDefault="005365C3" w:rsidP="00A62120">
      <w:pPr>
        <w:rPr>
          <w:rFonts w:cs="Arial"/>
        </w:rPr>
      </w:pPr>
      <w:r w:rsidRPr="00804F98">
        <w:rPr>
          <w:rFonts w:cs="Arial"/>
        </w:rPr>
        <w:t xml:space="preserve">Zu dieser Entscheidung haben folgende Aspekte </w:t>
      </w:r>
      <w:r w:rsidR="0024428D">
        <w:rPr>
          <w:rFonts w:cs="Arial"/>
        </w:rPr>
        <w:t xml:space="preserve">(s. auch standortbezogene Vorprüfung des Büros PAN vom 28.07.2022) </w:t>
      </w:r>
      <w:r w:rsidRPr="00804F98">
        <w:rPr>
          <w:rFonts w:cs="Arial"/>
        </w:rPr>
        <w:t>geführt:</w:t>
      </w:r>
    </w:p>
    <w:p w:rsidR="005365C3" w:rsidRDefault="005365C3" w:rsidP="00A62120"/>
    <w:p w:rsidR="0078526A" w:rsidRDefault="0078526A" w:rsidP="00A62120"/>
    <w:p w:rsidR="00EB2A89" w:rsidRDefault="00EB2A89" w:rsidP="00A62120">
      <w:pPr>
        <w:rPr>
          <w:u w:val="single"/>
        </w:rPr>
      </w:pPr>
      <w:r w:rsidRPr="00EB2A89">
        <w:rPr>
          <w:u w:val="single"/>
        </w:rPr>
        <w:t>Merkmale des Vorhabens</w:t>
      </w:r>
    </w:p>
    <w:p w:rsidR="00EB2A89" w:rsidRDefault="00EB2A89" w:rsidP="00A62120">
      <w:r w:rsidRPr="00EB2A89">
        <w:t>Das Unters</w:t>
      </w:r>
      <w:r w:rsidR="00A62120">
        <w:t xml:space="preserve">uchungsgebiet beträgt ca. 65 ha, das </w:t>
      </w:r>
      <w:proofErr w:type="spellStart"/>
      <w:r w:rsidR="00A62120">
        <w:t>Vorhabensgebiet</w:t>
      </w:r>
      <w:proofErr w:type="spellEnd"/>
      <w:r w:rsidR="00A62120">
        <w:t xml:space="preserve"> ca. 26 ha.</w:t>
      </w:r>
      <w:r w:rsidRPr="00EB2A89">
        <w:t xml:space="preserve"> Erdarbeiten sind mit</w:t>
      </w:r>
      <w:r>
        <w:t xml:space="preserve"> einem Volumen von ca. 170 m³ no</w:t>
      </w:r>
      <w:r w:rsidRPr="00EB2A89">
        <w:t>twendig.</w:t>
      </w:r>
      <w:r>
        <w:t xml:space="preserve"> </w:t>
      </w:r>
      <w:r w:rsidR="00557567">
        <w:t xml:space="preserve">Der Boden soll so weit als möglich wieder innerhalb des Untersuchungsgebietes eingebaut werden. </w:t>
      </w:r>
      <w:r>
        <w:t>Geplante</w:t>
      </w:r>
      <w:r w:rsidR="003F1F4A">
        <w:t>r Baubeginn ist im Herbst 2022.</w:t>
      </w:r>
    </w:p>
    <w:p w:rsidR="00EB2A89" w:rsidRDefault="00EB2A89" w:rsidP="00A62120">
      <w:r>
        <w:t>Eine Neuversiegelung von Flächen erfolgt nicht. Der Grundwasserflurabstand wird verringert.</w:t>
      </w:r>
      <w:r w:rsidR="00557567">
        <w:t xml:space="preserve"> Es </w:t>
      </w:r>
      <w:r w:rsidR="001B3476">
        <w:t>ist die</w:t>
      </w:r>
      <w:r w:rsidR="00557567">
        <w:t xml:space="preserve"> Neuerstellung eines Grabens nach Süden mit Versickerung im Moorkörper</w:t>
      </w:r>
      <w:r w:rsidR="001B3476">
        <w:t xml:space="preserve"> geplant</w:t>
      </w:r>
      <w:r w:rsidR="00557567">
        <w:t>.</w:t>
      </w:r>
      <w:r w:rsidR="003B432B">
        <w:t xml:space="preserve"> Mit wassergefähr</w:t>
      </w:r>
      <w:r w:rsidR="00557567">
        <w:t>denden Stoffen wird im baustellenüblichen Umfang umgegangen</w:t>
      </w:r>
      <w:r w:rsidR="003E5ED0">
        <w:t>.</w:t>
      </w:r>
    </w:p>
    <w:p w:rsidR="00A62120" w:rsidRDefault="00A62120" w:rsidP="00A62120"/>
    <w:p w:rsidR="0078526A" w:rsidRDefault="0078526A" w:rsidP="00A62120"/>
    <w:p w:rsidR="003E5ED0" w:rsidRDefault="003E5ED0" w:rsidP="00A62120">
      <w:pPr>
        <w:rPr>
          <w:u w:val="single"/>
        </w:rPr>
      </w:pPr>
      <w:r w:rsidRPr="003E5ED0">
        <w:rPr>
          <w:u w:val="single"/>
        </w:rPr>
        <w:t>Standort des Vorhabens</w:t>
      </w:r>
    </w:p>
    <w:p w:rsidR="003E5ED0" w:rsidRPr="003E5ED0" w:rsidRDefault="003E5ED0" w:rsidP="00A62120">
      <w:r>
        <w:t xml:space="preserve">Das </w:t>
      </w:r>
      <w:proofErr w:type="spellStart"/>
      <w:r w:rsidRPr="003E5ED0">
        <w:t>Vorhabensgebiet</w:t>
      </w:r>
      <w:proofErr w:type="spellEnd"/>
      <w:r w:rsidRPr="003E5ED0">
        <w:t xml:space="preserve"> liegt innerhalb des Vogelschutzgebietes „Wiesenbrütergebiet im Unteren Isartal“ und innerhalb des FFH-Gebietes „</w:t>
      </w:r>
      <w:proofErr w:type="spellStart"/>
      <w:r w:rsidRPr="003E5ED0">
        <w:t>Mettenbacher</w:t>
      </w:r>
      <w:proofErr w:type="spellEnd"/>
      <w:r w:rsidRPr="003E5ED0">
        <w:t xml:space="preserve">, </w:t>
      </w:r>
      <w:proofErr w:type="spellStart"/>
      <w:r w:rsidRPr="003E5ED0">
        <w:t>Grießenbacher</w:t>
      </w:r>
      <w:proofErr w:type="spellEnd"/>
      <w:r w:rsidRPr="003E5ED0">
        <w:t xml:space="preserve"> und Königsauer Moos (Unteres Isartal)“. Ferner </w:t>
      </w:r>
      <w:r w:rsidR="003F1F4A">
        <w:t xml:space="preserve">befinden </w:t>
      </w:r>
      <w:r w:rsidRPr="003E5ED0">
        <w:t xml:space="preserve">sich innerhalb des </w:t>
      </w:r>
      <w:proofErr w:type="spellStart"/>
      <w:r w:rsidRPr="003E5ED0">
        <w:t>Vorhabensgebietes</w:t>
      </w:r>
      <w:proofErr w:type="spellEnd"/>
      <w:r w:rsidRPr="003E5ED0">
        <w:t xml:space="preserve"> mehrere gesetzlich geschütztes Biotope.</w:t>
      </w:r>
    </w:p>
    <w:p w:rsidR="003E5ED0" w:rsidRDefault="003E5ED0" w:rsidP="00A62120">
      <w:r w:rsidRPr="003E5ED0">
        <w:t>All</w:t>
      </w:r>
      <w:r>
        <w:t>e weitere</w:t>
      </w:r>
      <w:r w:rsidR="005C6475">
        <w:t>n</w:t>
      </w:r>
      <w:r>
        <w:t xml:space="preserve"> Schutzgebiete liegen zu weit entfernt, um in irgendeiner Weise betroffen zu sein.</w:t>
      </w:r>
    </w:p>
    <w:p w:rsidR="005C6475" w:rsidRDefault="005C6475" w:rsidP="00A62120"/>
    <w:p w:rsidR="0078526A" w:rsidRDefault="0078526A" w:rsidP="00A62120"/>
    <w:p w:rsidR="005C6475" w:rsidRDefault="005C6475" w:rsidP="00A62120">
      <w:pPr>
        <w:rPr>
          <w:rFonts w:cs="Arial"/>
          <w:u w:val="single"/>
        </w:rPr>
      </w:pPr>
      <w:r>
        <w:rPr>
          <w:rFonts w:cs="Arial"/>
          <w:u w:val="single"/>
        </w:rPr>
        <w:t>Art und Merkmale der möglichen Auswirkungen</w:t>
      </w:r>
    </w:p>
    <w:p w:rsidR="005C6475" w:rsidRDefault="005C6475" w:rsidP="00A62120">
      <w:pPr>
        <w:rPr>
          <w:rFonts w:cs="Arial"/>
          <w:u w:val="single"/>
        </w:rPr>
      </w:pPr>
      <w:r w:rsidRPr="005C6475">
        <w:rPr>
          <w:rFonts w:cs="Arial"/>
          <w:u w:val="single"/>
        </w:rPr>
        <w:t>Vogelschutzgebietes „Wiesenbrütergebiet im Unteren Isartal“</w:t>
      </w:r>
    </w:p>
    <w:p w:rsidR="005C6475" w:rsidRPr="005C6475" w:rsidRDefault="005C6475" w:rsidP="00A62120">
      <w:r w:rsidRPr="005C6475">
        <w:t xml:space="preserve">Die geplante Wiedervernässung unterstützt die Zielsetzungen des Vogelschutzgebiets. Zu diesen zählen insbesondere die Erhaltung bzw. die Wiederherstellung </w:t>
      </w:r>
      <w:r>
        <w:t xml:space="preserve">hoher </w:t>
      </w:r>
      <w:r>
        <w:lastRenderedPageBreak/>
        <w:t>G</w:t>
      </w:r>
      <w:r w:rsidRPr="005C6475">
        <w:t>run</w:t>
      </w:r>
      <w:r w:rsidR="003F1F4A">
        <w:t>dwa</w:t>
      </w:r>
      <w:r w:rsidRPr="005C6475">
        <w:t>sserstände sowie der Erhalt des Niedermoortorf</w:t>
      </w:r>
      <w:r>
        <w:t xml:space="preserve">s und der übrigen </w:t>
      </w:r>
      <w:proofErr w:type="spellStart"/>
      <w:r>
        <w:t>hydromorph</w:t>
      </w:r>
      <w:proofErr w:type="spellEnd"/>
      <w:r>
        <w:t xml:space="preserve"> ge</w:t>
      </w:r>
      <w:r w:rsidRPr="005C6475">
        <w:t xml:space="preserve">prägten Böden mit ihrer </w:t>
      </w:r>
      <w:proofErr w:type="spellStart"/>
      <w:r w:rsidRPr="005C6475">
        <w:t>Stocherbarkeit</w:t>
      </w:r>
      <w:proofErr w:type="spellEnd"/>
      <w:r w:rsidRPr="005C6475">
        <w:t xml:space="preserve"> als Nahrungsflächen für Wiesenbrüte</w:t>
      </w:r>
      <w:r>
        <w:t>r. Störungen der brütenden Vögel sind nicht zu erwarten, da die Bauarbeiten im Herbst, also außerhalb der Vogelbrutzeiten, stattfinden sollen.</w:t>
      </w:r>
    </w:p>
    <w:p w:rsidR="003F1F4A" w:rsidRDefault="003F1F4A" w:rsidP="00A62120"/>
    <w:p w:rsidR="003330C0" w:rsidRDefault="003330C0" w:rsidP="00A62120">
      <w:pPr>
        <w:rPr>
          <w:u w:val="single"/>
        </w:rPr>
      </w:pPr>
      <w:r w:rsidRPr="003330C0">
        <w:rPr>
          <w:u w:val="single"/>
        </w:rPr>
        <w:t>FFH-Gebiet „</w:t>
      </w:r>
      <w:proofErr w:type="spellStart"/>
      <w:r w:rsidRPr="003330C0">
        <w:rPr>
          <w:u w:val="single"/>
        </w:rPr>
        <w:t>Mettenbacher</w:t>
      </w:r>
      <w:proofErr w:type="spellEnd"/>
      <w:r w:rsidRPr="003330C0">
        <w:rPr>
          <w:u w:val="single"/>
        </w:rPr>
        <w:t xml:space="preserve">, </w:t>
      </w:r>
      <w:proofErr w:type="spellStart"/>
      <w:r w:rsidRPr="003330C0">
        <w:rPr>
          <w:u w:val="single"/>
        </w:rPr>
        <w:t>Grießenbacher</w:t>
      </w:r>
      <w:proofErr w:type="spellEnd"/>
      <w:r w:rsidRPr="003330C0">
        <w:rPr>
          <w:u w:val="single"/>
        </w:rPr>
        <w:t xml:space="preserve"> und Königsauer Moos (Unteres Isartal)“</w:t>
      </w:r>
    </w:p>
    <w:p w:rsidR="003330C0" w:rsidRDefault="003330C0" w:rsidP="00A62120">
      <w:r>
        <w:t>Die geplante Wiedervernässung des Untersuchungsgebietes entspricht grundsätzlich den Erhaltungszielen für das FFH-Gebiet, da hier artenreiche Niedermoor- und Streuwiesenstandorte erhalten und gefördert werden sollen.</w:t>
      </w:r>
    </w:p>
    <w:p w:rsidR="00C748C6" w:rsidRDefault="00C748C6" w:rsidP="00A62120">
      <w:r>
        <w:t xml:space="preserve">Zumindest kurzfristig ist mit einem Flächenverlust (max. 1.550 m2) von </w:t>
      </w:r>
      <w:r w:rsidRPr="00C748C6">
        <w:t>Kalkflachmoor-Standorte</w:t>
      </w:r>
      <w:r>
        <w:t>n zu rechnen. Infolge der Anhebung des Grundwasserstands ist langfristig jedoch von einem darüberhinausgehenden Zuwachs an für Kalkflachmoore geeigneten grundwassernahen Flächen und somit von einer Aus</w:t>
      </w:r>
      <w:r w:rsidRPr="00C748C6">
        <w:t>weitung der Bestände auszugehe</w:t>
      </w:r>
      <w:r>
        <w:t>n.</w:t>
      </w:r>
    </w:p>
    <w:p w:rsidR="00C748C6" w:rsidRDefault="00C748C6" w:rsidP="00A62120">
      <w:r>
        <w:t xml:space="preserve">In graben- bzw. grundwassernäheren Bereichen kann der Anstieg des Grundwassers langfristig zu einer Verschiebung des Artenspektrums der Pfeifengraswiesen hin zu </w:t>
      </w:r>
      <w:proofErr w:type="spellStart"/>
      <w:r>
        <w:t>kleinseggenreicheren</w:t>
      </w:r>
      <w:proofErr w:type="spellEnd"/>
      <w:r>
        <w:t xml:space="preserve"> Beständen (Förderung von Flachmoorarten) und einer Einwanderung nässeliebender Arten führen (BRACKEL 2020). Allerdings ist davon auszugehen, dass an anderen Stellen durch die Wiedervernässung in größerem Umfang geeignete Standorte entstehen werden.</w:t>
      </w:r>
    </w:p>
    <w:p w:rsidR="00B6148C" w:rsidRDefault="00B6148C" w:rsidP="00A62120">
      <w:r>
        <w:t>Erhebliche Beeinträchtigungen auf Arten nach Anhang II der FFH-Richtlinie (hier: Dunkler Wiesenknopf-Ameisenbläuling und Kriechender Sellerie) sind auszuschließen, im Gegenteil ist von einer Verbesserung auszugehen.</w:t>
      </w:r>
    </w:p>
    <w:p w:rsidR="009D1E74" w:rsidRDefault="009D1E74" w:rsidP="00A62120"/>
    <w:p w:rsidR="00B6148C" w:rsidRPr="00B6148C" w:rsidRDefault="00B6148C" w:rsidP="00A62120">
      <w:pPr>
        <w:rPr>
          <w:u w:val="single"/>
        </w:rPr>
      </w:pPr>
      <w:r w:rsidRPr="00B6148C">
        <w:rPr>
          <w:u w:val="single"/>
        </w:rPr>
        <w:t>Weitere gesetzlich geschützte Biotope (ohne FFH-Lebensraumtypen)</w:t>
      </w:r>
    </w:p>
    <w:p w:rsidR="003F6765" w:rsidRDefault="00B6148C" w:rsidP="00A62120">
      <w:r>
        <w:t xml:space="preserve">Die in der Literatur für nasse </w:t>
      </w:r>
      <w:proofErr w:type="spellStart"/>
      <w:r>
        <w:t>Seggenwiesen</w:t>
      </w:r>
      <w:proofErr w:type="spellEnd"/>
      <w:r>
        <w:t xml:space="preserve"> bzw. Feuchtwiesen angegeben Flurabstände werden auch nach Stufe 2 nicht unterschritten.</w:t>
      </w:r>
      <w:r w:rsidR="003F6765">
        <w:t xml:space="preserve"> </w:t>
      </w:r>
    </w:p>
    <w:p w:rsidR="00B6148C" w:rsidRDefault="003F6765" w:rsidP="00A62120">
      <w:r>
        <w:t xml:space="preserve">Großröhrichte (VH00BK) / Landröhrichte (GR00BK) zeichnen sich im Vergleich zu Kalkflachmooren durch eine deutlich breitere Standortamplitude bzgl. des Grundwasserstands aus. </w:t>
      </w:r>
    </w:p>
    <w:p w:rsidR="003F6765" w:rsidRDefault="003F6765" w:rsidP="00A62120">
      <w:r>
        <w:t>Initialvegetation, kleinbinsenreich (SI00BK</w:t>
      </w:r>
      <w:r w:rsidR="0093193F">
        <w:t>)</w:t>
      </w:r>
      <w:r>
        <w:t xml:space="preserve"> treten in der Uferzone natürlicher und naturnaher Stillgewässer, im Untersuchungsgebiet im Bereich der Seigen auf und werden durch die Grundwassererhöhung langfristig eher profitieren.</w:t>
      </w:r>
    </w:p>
    <w:p w:rsidR="005859ED" w:rsidRDefault="005859ED" w:rsidP="00A62120"/>
    <w:p w:rsidR="00CE16E3" w:rsidRDefault="00CE16E3" w:rsidP="00A62120">
      <w:r>
        <w:t>Der temporär vorhandene Fischbestand ist aus fischer</w:t>
      </w:r>
      <w:r w:rsidR="00077B6F">
        <w:t>ei</w:t>
      </w:r>
      <w:r>
        <w:t xml:space="preserve">fachlicher und fischfaunistischer Sicht nicht bedeutend. Der Graben trocknet </w:t>
      </w:r>
      <w:r w:rsidR="00077B6F">
        <w:t xml:space="preserve">bislang </w:t>
      </w:r>
      <w:r>
        <w:t>in Sommermonaten aus.</w:t>
      </w:r>
      <w:r w:rsidR="00077B6F">
        <w:t xml:space="preserve"> </w:t>
      </w:r>
    </w:p>
    <w:p w:rsidR="00CA1A2F" w:rsidRDefault="00CA1A2F" w:rsidP="00A62120"/>
    <w:p w:rsidR="008F463A" w:rsidRDefault="008F463A" w:rsidP="00A62120">
      <w:bookmarkStart w:id="0" w:name="_GoBack"/>
      <w:bookmarkEnd w:id="0"/>
      <w:r>
        <w:t xml:space="preserve">Erhebliche negative Auswirkungen des Vorhabens sind trotz </w:t>
      </w:r>
      <w:r w:rsidR="005859ED">
        <w:t>besonderen Emp</w:t>
      </w:r>
      <w:r>
        <w:t xml:space="preserve">findlichkeiten beim Schutzgut Tiere und Pflanzen nicht zu befürchten, da </w:t>
      </w:r>
    </w:p>
    <w:p w:rsidR="008F463A" w:rsidRDefault="008F463A" w:rsidP="00A62120">
      <w:pPr>
        <w:ind w:left="284" w:hanging="284"/>
      </w:pPr>
      <w:r>
        <w:t xml:space="preserve">– die geplante Wiedervernässung den Erhaltungszielen für das FFH-Gebiet und das </w:t>
      </w:r>
    </w:p>
    <w:p w:rsidR="008F463A" w:rsidRDefault="005859ED" w:rsidP="00A62120">
      <w:pPr>
        <w:ind w:left="284" w:hanging="284"/>
      </w:pPr>
      <w:r>
        <w:t xml:space="preserve">   </w:t>
      </w:r>
      <w:r w:rsidR="008F463A">
        <w:t xml:space="preserve">Vogelschutzgebiet entspricht, </w:t>
      </w:r>
    </w:p>
    <w:p w:rsidR="008F463A" w:rsidRDefault="008F463A" w:rsidP="00A62120">
      <w:pPr>
        <w:ind w:left="284" w:hanging="284"/>
      </w:pPr>
      <w:r>
        <w:t xml:space="preserve">– von </w:t>
      </w:r>
      <w:r w:rsidR="002A1EB5">
        <w:t>der M</w:t>
      </w:r>
      <w:r>
        <w:t xml:space="preserve">aßnahme keine Brutstätten von Wiesenbrütern betroffen sind und die Wiedervernässung zur Zunahme geeigneter Nahrungshabitate führt, </w:t>
      </w:r>
    </w:p>
    <w:p w:rsidR="008F463A" w:rsidRDefault="008F463A" w:rsidP="00A62120">
      <w:pPr>
        <w:ind w:left="284" w:hanging="284"/>
      </w:pPr>
      <w:r>
        <w:t>– für die FFH-Lebensraumtypen (§ 30 BNatSchG) keine langfristigen negativen Aus-</w:t>
      </w:r>
    </w:p>
    <w:p w:rsidR="008F463A" w:rsidRDefault="005859ED" w:rsidP="00A62120">
      <w:pPr>
        <w:ind w:left="284" w:hanging="284"/>
      </w:pPr>
      <w:r>
        <w:t xml:space="preserve">   </w:t>
      </w:r>
      <w:proofErr w:type="spellStart"/>
      <w:r w:rsidR="008F463A">
        <w:t>wirkungen</w:t>
      </w:r>
      <w:proofErr w:type="spellEnd"/>
      <w:r w:rsidR="008F463A">
        <w:t xml:space="preserve">, sondern sogar eine Aufwertung zu erwarten ist, </w:t>
      </w:r>
    </w:p>
    <w:p w:rsidR="008F463A" w:rsidRDefault="008F463A" w:rsidP="00A62120">
      <w:pPr>
        <w:ind w:left="284" w:hanging="284"/>
      </w:pPr>
      <w:r>
        <w:t xml:space="preserve">– die geplante Wiedervernässung für die Arten nach Anhang II der FFH-Richtlinie </w:t>
      </w:r>
    </w:p>
    <w:p w:rsidR="008F463A" w:rsidRDefault="005859ED" w:rsidP="00A62120">
      <w:pPr>
        <w:ind w:left="284" w:hanging="284"/>
      </w:pPr>
      <w:r>
        <w:t xml:space="preserve">   </w:t>
      </w:r>
      <w:r w:rsidR="008F463A">
        <w:t>entweder keine Auswirkungen hat oder eine Optimierung der Lebensräume zu er-</w:t>
      </w:r>
    </w:p>
    <w:p w:rsidR="008F463A" w:rsidRDefault="005859ED" w:rsidP="00A62120">
      <w:pPr>
        <w:ind w:left="284" w:hanging="284"/>
      </w:pPr>
      <w:r>
        <w:t xml:space="preserve">   </w:t>
      </w:r>
      <w:r w:rsidR="008F463A">
        <w:t xml:space="preserve">warten ist,   </w:t>
      </w:r>
    </w:p>
    <w:p w:rsidR="008F463A" w:rsidRDefault="005859ED" w:rsidP="00A62120">
      <w:pPr>
        <w:ind w:left="284" w:hanging="284"/>
      </w:pPr>
      <w:r>
        <w:t>– und für</w:t>
      </w:r>
      <w:r w:rsidR="008F463A">
        <w:t xml:space="preserve"> die weiteren</w:t>
      </w:r>
      <w:r w:rsidR="00C3258F">
        <w:t xml:space="preserve"> </w:t>
      </w:r>
      <w:r w:rsidR="008F463A">
        <w:t xml:space="preserve">gem. § 30 BNatSchG geschützten Biotope keine negativen </w:t>
      </w:r>
      <w:r>
        <w:t xml:space="preserve">   Auswirkungen erkennbar sind.  </w:t>
      </w:r>
    </w:p>
    <w:p w:rsidR="008F463A" w:rsidRDefault="008F463A" w:rsidP="00A62120">
      <w:r>
        <w:t>Auch erhebliche Auswirkungen auf die Schutzgüter Fläche, Boden, K</w:t>
      </w:r>
      <w:r w:rsidR="005859ED">
        <w:t>lima, Luft, Land</w:t>
      </w:r>
      <w:r>
        <w:t xml:space="preserve">schaftsbild sowie Kultur- </w:t>
      </w:r>
      <w:r w:rsidR="005859ED">
        <w:t>und S</w:t>
      </w:r>
      <w:r>
        <w:t xml:space="preserve">achgüter sind nicht zu </w:t>
      </w:r>
      <w:r w:rsidR="005859ED">
        <w:t>e</w:t>
      </w:r>
      <w:r>
        <w:t>rkennen, da bezüglich dieser Schutzgüter keine besondere Empfindlichkeit vorliegt.</w:t>
      </w:r>
      <w:r w:rsidR="002A1EB5">
        <w:t xml:space="preserve">  </w:t>
      </w:r>
    </w:p>
    <w:p w:rsidR="0078526A" w:rsidRDefault="0078526A" w:rsidP="00A62120">
      <w:r>
        <w:br/>
      </w:r>
    </w:p>
    <w:p w:rsidR="0078526A" w:rsidRDefault="0078526A">
      <w:pPr>
        <w:spacing w:after="160" w:line="259" w:lineRule="auto"/>
      </w:pPr>
      <w:r>
        <w:br w:type="page"/>
      </w:r>
    </w:p>
    <w:p w:rsidR="008F463A" w:rsidRDefault="008F463A" w:rsidP="00A62120">
      <w:r>
        <w:lastRenderedPageBreak/>
        <w:t>Andere Vorhaben, durch die sich überlagernde und</w:t>
      </w:r>
      <w:r w:rsidR="005859ED">
        <w:t xml:space="preserve"> kumulierende Auswirkungen erge</w:t>
      </w:r>
      <w:r>
        <w:t>ben könnten, sind im Gebiet und dessen Umfeld nicht bekannt</w:t>
      </w:r>
      <w:r w:rsidR="005859ED">
        <w:t>.</w:t>
      </w:r>
    </w:p>
    <w:p w:rsidR="00A62120" w:rsidRDefault="00A62120" w:rsidP="00A62120"/>
    <w:p w:rsidR="002A1EB5" w:rsidRDefault="002A1EB5" w:rsidP="00A62120">
      <w:r>
        <w:t>Eine UVP-Pflicht besteht deshalb nicht (§ 7 Abs. 2 UVPG).</w:t>
      </w:r>
    </w:p>
    <w:p w:rsidR="002A1EB5" w:rsidRDefault="002A1EB5" w:rsidP="00A62120"/>
    <w:p w:rsidR="002A1EB5" w:rsidRDefault="002A1EB5" w:rsidP="00A62120">
      <w:r>
        <w:t xml:space="preserve">Dingolfing, den </w:t>
      </w:r>
      <w:r w:rsidR="004940F9">
        <w:t>20.09.</w:t>
      </w:r>
      <w:r>
        <w:t>2022</w:t>
      </w:r>
    </w:p>
    <w:p w:rsidR="002A1EB5" w:rsidRDefault="002A1EB5" w:rsidP="00A62120">
      <w:r>
        <w:t>Landratsamt Dingolfing-Landau</w:t>
      </w:r>
    </w:p>
    <w:p w:rsidR="002A1EB5" w:rsidRDefault="002A1EB5" w:rsidP="00A62120"/>
    <w:p w:rsidR="002A1EB5" w:rsidRDefault="002A1EB5" w:rsidP="00A62120"/>
    <w:p w:rsidR="002A1EB5" w:rsidRDefault="002A1EB5" w:rsidP="00A62120"/>
    <w:p w:rsidR="002A1EB5" w:rsidRDefault="002A1EB5" w:rsidP="00A62120">
      <w:r>
        <w:t>Schmid</w:t>
      </w:r>
    </w:p>
    <w:sectPr w:rsidR="002A1E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1C"/>
    <w:rsid w:val="00077B6F"/>
    <w:rsid w:val="0018214F"/>
    <w:rsid w:val="001B3476"/>
    <w:rsid w:val="0024428D"/>
    <w:rsid w:val="00294A1C"/>
    <w:rsid w:val="002A1EB5"/>
    <w:rsid w:val="003330C0"/>
    <w:rsid w:val="003B432B"/>
    <w:rsid w:val="003E5ED0"/>
    <w:rsid w:val="003F1F4A"/>
    <w:rsid w:val="003F6765"/>
    <w:rsid w:val="004940F9"/>
    <w:rsid w:val="004A35F9"/>
    <w:rsid w:val="005365C3"/>
    <w:rsid w:val="00557567"/>
    <w:rsid w:val="005859ED"/>
    <w:rsid w:val="005C6475"/>
    <w:rsid w:val="005F49C5"/>
    <w:rsid w:val="0078526A"/>
    <w:rsid w:val="008F463A"/>
    <w:rsid w:val="0093193F"/>
    <w:rsid w:val="00984FD8"/>
    <w:rsid w:val="009D1E74"/>
    <w:rsid w:val="00A62120"/>
    <w:rsid w:val="00B6148C"/>
    <w:rsid w:val="00C3258F"/>
    <w:rsid w:val="00C748C6"/>
    <w:rsid w:val="00CA1A2F"/>
    <w:rsid w:val="00CE16E3"/>
    <w:rsid w:val="00EB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57CC"/>
  <w15:chartTrackingRefBased/>
  <w15:docId w15:val="{05736DCB-CFE9-4811-A66C-965B385B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4A1C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1A2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1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 Christine</dc:creator>
  <cp:keywords/>
  <dc:description/>
  <cp:lastModifiedBy>Schmid Christine</cp:lastModifiedBy>
  <cp:revision>24</cp:revision>
  <cp:lastPrinted>2022-11-02T13:46:00Z</cp:lastPrinted>
  <dcterms:created xsi:type="dcterms:W3CDTF">2022-09-07T08:55:00Z</dcterms:created>
  <dcterms:modified xsi:type="dcterms:W3CDTF">2022-11-02T14:04:00Z</dcterms:modified>
</cp:coreProperties>
</file>