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A33E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(UVPG):</w:t>
      </w:r>
    </w:p>
    <w:p w14:paraId="58B16B05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5 Abs. 2 Satz 1 UVPG</w:t>
      </w:r>
    </w:p>
    <w:p w14:paraId="2963956E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6C68650A" w14:textId="487DD7EA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Amt für Ernährung, Landwirtschaft und Forsten </w:t>
      </w:r>
      <w:sdt>
        <w:sdtPr>
          <w:rPr>
            <w:rFonts w:cs="Arial"/>
            <w:sz w:val="24"/>
          </w:rPr>
          <w:id w:val="-1706635089"/>
          <w:placeholder>
            <w:docPart w:val="591F268462354874928018E34F061F6E"/>
          </w:placeholder>
          <w:text/>
        </w:sdtPr>
        <w:sdtEndPr/>
        <w:sdtContent>
          <w:r>
            <w:rPr>
              <w:rFonts w:cs="Arial"/>
              <w:sz w:val="24"/>
            </w:rPr>
            <w:t>Coburg-Kulmbach</w:t>
          </w:r>
        </w:sdtContent>
      </w:sdt>
      <w:r>
        <w:rPr>
          <w:rFonts w:cs="Arial"/>
          <w:sz w:val="24"/>
        </w:rPr>
        <w:t xml:space="preserve"> (AELF) gibt bekannt:</w:t>
      </w:r>
    </w:p>
    <w:p w14:paraId="7BF926CB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05224D2" w14:textId="53D187E4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Der Vorhabensträger beantragte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placeholder>
            <w:docPart w:val="21FC1B7E34534A8BBA7D3C923735EE42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0A5B557F" w14:textId="4E2F5C08" w:rsidR="00EB7C5C" w:rsidRDefault="00080B56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EB7C5C">
        <w:rPr>
          <w:rFonts w:cs="Arial"/>
          <w:sz w:val="24"/>
        </w:rPr>
        <w:t xml:space="preserve">on </w:t>
      </w:r>
      <w:sdt>
        <w:sdtPr>
          <w:rPr>
            <w:rFonts w:cs="Arial"/>
            <w:sz w:val="24"/>
          </w:rPr>
          <w:id w:val="600295982"/>
          <w:placeholder>
            <w:docPart w:val="591F268462354874928018E34F061F6E"/>
          </w:placeholder>
          <w:text/>
        </w:sdtPr>
        <w:sdtEndPr/>
        <w:sdtContent>
          <w:r w:rsidR="00D73DF5">
            <w:rPr>
              <w:rFonts w:cs="Arial"/>
              <w:sz w:val="24"/>
            </w:rPr>
            <w:t>ca. 3,77</w:t>
          </w:r>
        </w:sdtContent>
      </w:sdt>
      <w:r w:rsidR="00EB7C5C">
        <w:rPr>
          <w:rFonts w:cs="Arial"/>
          <w:sz w:val="24"/>
        </w:rPr>
        <w:t xml:space="preserve"> ha Wald auf de</w:t>
      </w:r>
      <w:r w:rsidR="00D73DF5">
        <w:rPr>
          <w:rFonts w:cs="Arial"/>
          <w:sz w:val="24"/>
        </w:rPr>
        <w:t>n</w:t>
      </w:r>
      <w:r w:rsidR="00EB7C5C">
        <w:rPr>
          <w:rFonts w:cs="Arial"/>
          <w:sz w:val="24"/>
        </w:rPr>
        <w:t xml:space="preserve"> Flurstück</w:t>
      </w:r>
      <w:r w:rsidR="00D73DF5">
        <w:rPr>
          <w:rFonts w:cs="Arial"/>
          <w:sz w:val="24"/>
        </w:rPr>
        <w:t>en</w:t>
      </w:r>
      <w:r w:rsidR="00EB7C5C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81251E7D5D6F4E9FA27311D1D1540336"/>
          </w:placeholder>
        </w:sdtPr>
        <w:sdtEndPr/>
        <w:sdtContent>
          <w:r w:rsidR="00D73DF5">
            <w:rPr>
              <w:rFonts w:cs="Arial"/>
              <w:sz w:val="24"/>
            </w:rPr>
            <w:t>516, 517, 518, 520, 521, 522, 523, 524, 524/2</w:t>
          </w:r>
          <w:r w:rsidR="00025D49">
            <w:rPr>
              <w:rFonts w:cs="Arial"/>
              <w:sz w:val="24"/>
            </w:rPr>
            <w:t xml:space="preserve"> (Teilfläche</w:t>
          </w:r>
          <w:r w:rsidR="00D73DF5">
            <w:rPr>
              <w:rFonts w:cs="Arial"/>
              <w:sz w:val="24"/>
            </w:rPr>
            <w:t>n</w:t>
          </w:r>
          <w:r w:rsidR="00025D49">
            <w:rPr>
              <w:rFonts w:cs="Arial"/>
              <w:sz w:val="24"/>
            </w:rPr>
            <w:t xml:space="preserve">) Gemarkung </w:t>
          </w:r>
          <w:r w:rsidR="00D73DF5">
            <w:rPr>
              <w:rFonts w:cs="Arial"/>
              <w:sz w:val="24"/>
            </w:rPr>
            <w:t>Neundorf sowie auf den Flurstücken 10 und 101 (Teilflächen) Gemarkung Schwärzdorf</w:t>
          </w:r>
        </w:sdtContent>
      </w:sdt>
      <w:r w:rsidR="00EB7C5C">
        <w:rPr>
          <w:rFonts w:cs="Arial"/>
          <w:sz w:val="24"/>
        </w:rPr>
        <w:t>.</w:t>
      </w:r>
    </w:p>
    <w:p w14:paraId="6CEBAE5E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88D460F" w14:textId="15F99289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AELF hat das Vorhaben nach § 7 Abs. 2 Satz 2 UVPG (bei einer standortbezogenen Vorprüfung) überschlägig geprüft und festgestellt, dass von dem Vorhaben voraussichtlich </w:t>
      </w:r>
      <w:r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21FC1B7E34534A8BBA7D3C923735EE42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>
            <w:rPr>
              <w:rFonts w:cs="Arial"/>
              <w:sz w:val="24"/>
            </w:rPr>
            <w:t>keine erheblichen nachteiligen Umweltauswirkungen zu erwarten sind</w:t>
          </w:r>
        </w:sdtContent>
      </w:sdt>
      <w:r>
        <w:rPr>
          <w:rFonts w:cs="Arial"/>
          <w:sz w:val="24"/>
        </w:rPr>
        <w:t>.</w:t>
      </w:r>
    </w:p>
    <w:p w14:paraId="4EC5754E" w14:textId="77777777" w:rsidR="00EB7C5C" w:rsidRDefault="00EB7C5C" w:rsidP="00EB7C5C">
      <w:pPr>
        <w:pStyle w:val="Kopfzeile"/>
        <w:tabs>
          <w:tab w:val="clear" w:pos="4536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8321299" w14:textId="1B98171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dass </w:t>
      </w:r>
      <w:sdt>
        <w:sdtPr>
          <w:rPr>
            <w:rFonts w:cs="Arial"/>
            <w:iCs/>
            <w:sz w:val="24"/>
          </w:rPr>
          <w:id w:val="1909727359"/>
          <w:placeholder>
            <w:docPart w:val="591F268462354874928018E34F061F6E"/>
          </w:placeholder>
          <w:text/>
        </w:sdtPr>
        <w:sdtContent>
          <w:r w:rsidR="00D73DF5">
            <w:rPr>
              <w:rFonts w:cs="Arial"/>
              <w:iCs/>
              <w:sz w:val="24"/>
            </w:rPr>
            <w:t xml:space="preserve">die Flächen im Landschaftsschutzgebiet „Mitwitzer Wustungen“ i.S.d. Anlage 3 Nr. 2.3.5 UVPG liegen. Da das Vorhaben den Schutzzweck nach § 3 der LSG-VO nicht beeinträchtigt bzw. gefährdet und nicht erlaubnispflichtig nach § 5 Abs. 1 LSG-VO ist, entstehen keine negativen Auswirkungen auf das Schutzgebiet. Zudem ist die ehemalige Kiesgrube ein Teil des Naturschutzgebietes „Föritzau“ </w:t>
          </w:r>
          <w:r w:rsidR="00D73DF5" w:rsidRPr="006209F8">
            <w:rPr>
              <w:rFonts w:cs="Arial"/>
              <w:iCs/>
              <w:sz w:val="24"/>
            </w:rPr>
            <w:t>i.S.d. Anlage 3 Nr. 2.3.</w:t>
          </w:r>
          <w:r w:rsidR="00D73DF5">
            <w:rPr>
              <w:rFonts w:cs="Arial"/>
              <w:iCs/>
              <w:sz w:val="24"/>
            </w:rPr>
            <w:t>2</w:t>
          </w:r>
          <w:r w:rsidR="00D73DF5" w:rsidRPr="006209F8">
            <w:rPr>
              <w:rFonts w:cs="Arial"/>
              <w:iCs/>
              <w:sz w:val="24"/>
            </w:rPr>
            <w:t xml:space="preserve"> UVPG</w:t>
          </w:r>
          <w:r w:rsidR="00D73DF5">
            <w:rPr>
              <w:rFonts w:cs="Arial"/>
              <w:iCs/>
              <w:sz w:val="24"/>
            </w:rPr>
            <w:t>. Der Rodungsantrag stellt aber keinen Verbotstatbestand nach § 4 der NSG-VO dar. Der Schutzzweck nach § 3 wird ebenfalls nicht durch das Vorhaben beeinträchtigt. Des Weiteren liegen die Flächen im FFH-Gebiet 5733-371, von dem Vorhaben sind aber keine Schutzgüter betroffen. Eine FFH-Verträglichkeitsprüfung ist nicht erforderlich.</w:t>
          </w:r>
        </w:sdtContent>
      </w:sdt>
    </w:p>
    <w:p w14:paraId="04002238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</w:p>
    <w:p w14:paraId="142D7F62" w14:textId="4C266618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Vorhaben bedarf daher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6D7F842165DA4EF7BE05EA702C40A65E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>
            <w:rPr>
              <w:rFonts w:cs="Arial"/>
              <w:sz w:val="24"/>
            </w:rPr>
            <w:t>keiner</w:t>
          </w:r>
        </w:sdtContent>
      </w:sdt>
      <w:r>
        <w:rPr>
          <w:rFonts w:cs="Arial"/>
          <w:sz w:val="24"/>
        </w:rPr>
        <w:t xml:space="preserve"> Umweltverträglichkeitsprüfung.</w:t>
      </w:r>
    </w:p>
    <w:p w14:paraId="307C9F8E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3801D2F8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Diese Feststellung ist nicht selbständig anfechtbar, § 5 Abs. 3 Satz 1 UVPG.</w:t>
      </w:r>
    </w:p>
    <w:p w14:paraId="39073967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6531FEEE" w14:textId="77777777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61E57664" w14:textId="27B52C56" w:rsidR="00EB7C5C" w:rsidRDefault="00D73DF5" w:rsidP="00EB7C5C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16</w:t>
      </w:r>
      <w:r w:rsidR="00AB7A1E">
        <w:rPr>
          <w:rFonts w:cs="Arial"/>
          <w:i/>
          <w:sz w:val="24"/>
        </w:rPr>
        <w:t>.0</w:t>
      </w:r>
      <w:r>
        <w:rPr>
          <w:rFonts w:cs="Arial"/>
          <w:i/>
          <w:sz w:val="24"/>
        </w:rPr>
        <w:t>8</w:t>
      </w:r>
      <w:r w:rsidR="00AB7A1E">
        <w:rPr>
          <w:rFonts w:cs="Arial"/>
          <w:i/>
          <w:sz w:val="24"/>
        </w:rPr>
        <w:t>.2023</w:t>
      </w:r>
    </w:p>
    <w:p w14:paraId="1083A1B7" w14:textId="718A5D8B" w:rsidR="00EB7C5C" w:rsidRDefault="00EB7C5C" w:rsidP="00EB7C5C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  <w:highlight w:val="lightGray"/>
        </w:rPr>
      </w:pPr>
      <w:r>
        <w:rPr>
          <w:rFonts w:cs="Arial"/>
          <w:i/>
          <w:sz w:val="24"/>
        </w:rPr>
        <w:t xml:space="preserve">gez. </w:t>
      </w:r>
      <w:r w:rsidR="00D73DF5">
        <w:rPr>
          <w:rFonts w:cs="Arial"/>
          <w:i/>
          <w:sz w:val="24"/>
        </w:rPr>
        <w:t>Frank Angermann, RI</w:t>
      </w:r>
    </w:p>
    <w:p w14:paraId="24DF94B7" w14:textId="77777777" w:rsidR="00EB7C5C" w:rsidRDefault="00EB7C5C" w:rsidP="00EB7C5C">
      <w:pPr>
        <w:spacing w:line="300" w:lineRule="exact"/>
      </w:pPr>
    </w:p>
    <w:p w14:paraId="63ED569F" w14:textId="77777777" w:rsidR="00AA5209" w:rsidRPr="005349B0" w:rsidRDefault="00AA5209" w:rsidP="005349B0"/>
    <w:sectPr w:rsidR="00AA5209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5C"/>
    <w:rsid w:val="00025D49"/>
    <w:rsid w:val="00070973"/>
    <w:rsid w:val="00071592"/>
    <w:rsid w:val="00080B56"/>
    <w:rsid w:val="000B0059"/>
    <w:rsid w:val="000F100A"/>
    <w:rsid w:val="00111FDC"/>
    <w:rsid w:val="00207E2D"/>
    <w:rsid w:val="00252D89"/>
    <w:rsid w:val="003C649F"/>
    <w:rsid w:val="00403734"/>
    <w:rsid w:val="0045702D"/>
    <w:rsid w:val="00480714"/>
    <w:rsid w:val="00507601"/>
    <w:rsid w:val="005349B0"/>
    <w:rsid w:val="00552D24"/>
    <w:rsid w:val="005F5D01"/>
    <w:rsid w:val="00652F23"/>
    <w:rsid w:val="00691205"/>
    <w:rsid w:val="006A1C23"/>
    <w:rsid w:val="006E618F"/>
    <w:rsid w:val="007F1057"/>
    <w:rsid w:val="0083405C"/>
    <w:rsid w:val="00842B7B"/>
    <w:rsid w:val="00867738"/>
    <w:rsid w:val="009F6D70"/>
    <w:rsid w:val="00A57F7B"/>
    <w:rsid w:val="00A71F2F"/>
    <w:rsid w:val="00A828CB"/>
    <w:rsid w:val="00AA5209"/>
    <w:rsid w:val="00AB7A1E"/>
    <w:rsid w:val="00C62687"/>
    <w:rsid w:val="00D73DF5"/>
    <w:rsid w:val="00DE4A21"/>
    <w:rsid w:val="00EB7C5C"/>
    <w:rsid w:val="00F30E17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4AF0"/>
  <w15:chartTrackingRefBased/>
  <w15:docId w15:val="{DC8C9213-19FA-461A-910B-F51C176B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C5C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unhideWhenUsed/>
    <w:rsid w:val="00EB7C5C"/>
    <w:pPr>
      <w:tabs>
        <w:tab w:val="center" w:pos="4536"/>
        <w:tab w:val="right" w:pos="9072"/>
      </w:tabs>
      <w:spacing w:line="24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B7C5C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B7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F268462354874928018E34F061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7F235-97B5-47A7-9E00-17E679444C25}"/>
      </w:docPartPr>
      <w:docPartBody>
        <w:p w:rsidR="00D349FA" w:rsidRDefault="008E587A" w:rsidP="008E587A">
          <w:pPr>
            <w:pStyle w:val="591F268462354874928018E34F061F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C1B7E34534A8BBA7D3C923735E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9C00-BA1F-4527-977D-B018FE228E94}"/>
      </w:docPartPr>
      <w:docPartBody>
        <w:p w:rsidR="00D349FA" w:rsidRDefault="008E587A" w:rsidP="008E587A">
          <w:pPr>
            <w:pStyle w:val="21FC1B7E34534A8BBA7D3C923735EE4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1251E7D5D6F4E9FA27311D1D1540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66D7D-B14E-4E76-BCA0-6599B0339E84}"/>
      </w:docPartPr>
      <w:docPartBody>
        <w:p w:rsidR="00D349FA" w:rsidRDefault="008E587A" w:rsidP="008E587A">
          <w:pPr>
            <w:pStyle w:val="81251E7D5D6F4E9FA27311D1D154033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F842165DA4EF7BE05EA702C40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4CB7A-B3D7-44D5-ABC5-011334C5955F}"/>
      </w:docPartPr>
      <w:docPartBody>
        <w:p w:rsidR="00D349FA" w:rsidRDefault="008E587A" w:rsidP="008E587A">
          <w:pPr>
            <w:pStyle w:val="6D7F842165DA4EF7BE05EA702C40A65E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7A"/>
    <w:rsid w:val="008E587A"/>
    <w:rsid w:val="00D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87A"/>
  </w:style>
  <w:style w:type="paragraph" w:customStyle="1" w:styleId="591F268462354874928018E34F061F6E">
    <w:name w:val="591F268462354874928018E34F061F6E"/>
    <w:rsid w:val="008E587A"/>
  </w:style>
  <w:style w:type="paragraph" w:customStyle="1" w:styleId="21FC1B7E34534A8BBA7D3C923735EE42">
    <w:name w:val="21FC1B7E34534A8BBA7D3C923735EE42"/>
    <w:rsid w:val="008E587A"/>
  </w:style>
  <w:style w:type="paragraph" w:customStyle="1" w:styleId="81251E7D5D6F4E9FA27311D1D1540336">
    <w:name w:val="81251E7D5D6F4E9FA27311D1D1540336"/>
    <w:rsid w:val="008E587A"/>
  </w:style>
  <w:style w:type="paragraph" w:customStyle="1" w:styleId="6D7F842165DA4EF7BE05EA702C40A65E">
    <w:name w:val="6D7F842165DA4EF7BE05EA702C40A65E"/>
    <w:rsid w:val="008E5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Kuhmann, Anne (aelf-ku)</dc:creator>
  <cp:keywords/>
  <dc:description/>
  <cp:lastModifiedBy>Kuhmann, Anne (aelf-ck)</cp:lastModifiedBy>
  <cp:revision>6</cp:revision>
  <dcterms:created xsi:type="dcterms:W3CDTF">2023-02-17T10:00:00Z</dcterms:created>
  <dcterms:modified xsi:type="dcterms:W3CDTF">2023-08-16T05:11:00Z</dcterms:modified>
</cp:coreProperties>
</file>