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D9" w:rsidRPr="005D06EB" w:rsidRDefault="00BD14D9" w:rsidP="00BD14D9">
      <w:pPr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42-641/4/2/6-B 231</w:t>
      </w:r>
    </w:p>
    <w:p w:rsidR="00BD14D9" w:rsidRPr="005D06EB" w:rsidRDefault="00BD14D9" w:rsidP="00BD14D9">
      <w:pPr>
        <w:rPr>
          <w:rFonts w:eastAsia="Times New Roman" w:cs="Times New Roman"/>
          <w:sz w:val="24"/>
          <w:szCs w:val="20"/>
          <w:lang w:eastAsia="de-DE"/>
        </w:rPr>
      </w:pPr>
    </w:p>
    <w:p w:rsidR="00BD14D9" w:rsidRPr="005D06EB" w:rsidRDefault="00BD14D9" w:rsidP="00BD14D9">
      <w:pPr>
        <w:rPr>
          <w:rFonts w:eastAsia="Times New Roman" w:cs="Times New Roman"/>
          <w:sz w:val="24"/>
          <w:szCs w:val="20"/>
          <w:lang w:eastAsia="de-DE"/>
        </w:rPr>
      </w:pPr>
    </w:p>
    <w:p w:rsidR="00BD14D9" w:rsidRPr="005D06EB" w:rsidRDefault="00BD14D9" w:rsidP="00BD14D9">
      <w:pPr>
        <w:rPr>
          <w:rFonts w:eastAsia="Times New Roman" w:cs="Times New Roman"/>
          <w:sz w:val="24"/>
          <w:szCs w:val="20"/>
          <w:lang w:eastAsia="de-DE"/>
        </w:rPr>
      </w:pPr>
    </w:p>
    <w:p w:rsidR="00BD14D9" w:rsidRPr="005D06EB" w:rsidRDefault="00BD14D9" w:rsidP="00BD14D9">
      <w:pPr>
        <w:rPr>
          <w:rFonts w:eastAsia="Times New Roman" w:cs="Times New Roman"/>
          <w:sz w:val="24"/>
          <w:szCs w:val="20"/>
          <w:lang w:eastAsia="de-DE"/>
        </w:rPr>
      </w:pPr>
    </w:p>
    <w:p w:rsidR="00BD14D9" w:rsidRPr="005D06EB" w:rsidRDefault="00BD14D9" w:rsidP="00BD14D9">
      <w:pPr>
        <w:rPr>
          <w:rFonts w:eastAsia="Times New Roman" w:cs="Times New Roman"/>
          <w:sz w:val="24"/>
          <w:szCs w:val="20"/>
          <w:lang w:eastAsia="de-DE"/>
        </w:rPr>
      </w:pPr>
      <w:r w:rsidRPr="005D06EB">
        <w:rPr>
          <w:rFonts w:eastAsia="Times New Roman" w:cs="Times New Roman"/>
          <w:sz w:val="24"/>
          <w:szCs w:val="20"/>
          <w:lang w:eastAsia="de-DE"/>
        </w:rPr>
        <w:t>Wasserrecht;</w:t>
      </w:r>
    </w:p>
    <w:p w:rsidR="00BD14D9" w:rsidRPr="005D06EB" w:rsidRDefault="00BD14D9" w:rsidP="00BD14D9">
      <w:pPr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Umgestaltung Forstergraben und Erweiterung Rückhaltebecken (</w:t>
      </w:r>
      <w:proofErr w:type="spellStart"/>
      <w:r>
        <w:rPr>
          <w:rFonts w:eastAsia="Times New Roman" w:cs="Times New Roman"/>
          <w:sz w:val="24"/>
          <w:szCs w:val="20"/>
          <w:lang w:eastAsia="de-DE"/>
        </w:rPr>
        <w:t>FlNr</w:t>
      </w:r>
      <w:proofErr w:type="spellEnd"/>
      <w:r>
        <w:rPr>
          <w:rFonts w:eastAsia="Times New Roman" w:cs="Times New Roman"/>
          <w:sz w:val="24"/>
          <w:szCs w:val="20"/>
          <w:lang w:eastAsia="de-DE"/>
        </w:rPr>
        <w:t xml:space="preserve">. 315, Gem. </w:t>
      </w:r>
      <w:proofErr w:type="spellStart"/>
      <w:r>
        <w:rPr>
          <w:rFonts w:eastAsia="Times New Roman" w:cs="Times New Roman"/>
          <w:sz w:val="24"/>
          <w:szCs w:val="20"/>
          <w:lang w:eastAsia="de-DE"/>
        </w:rPr>
        <w:t>Moosthenning</w:t>
      </w:r>
      <w:proofErr w:type="spellEnd"/>
      <w:r>
        <w:rPr>
          <w:rFonts w:eastAsia="Times New Roman" w:cs="Times New Roman"/>
          <w:sz w:val="24"/>
          <w:szCs w:val="20"/>
          <w:lang w:eastAsia="de-DE"/>
        </w:rPr>
        <w:t xml:space="preserve">) durch die Gemeinde </w:t>
      </w:r>
      <w:proofErr w:type="spellStart"/>
      <w:r>
        <w:rPr>
          <w:rFonts w:eastAsia="Times New Roman" w:cs="Times New Roman"/>
          <w:sz w:val="24"/>
          <w:szCs w:val="20"/>
          <w:lang w:eastAsia="de-DE"/>
        </w:rPr>
        <w:t>Moosthenning</w:t>
      </w:r>
      <w:proofErr w:type="spellEnd"/>
    </w:p>
    <w:p w:rsidR="00BD14D9" w:rsidRPr="005D06EB" w:rsidRDefault="00BD14D9" w:rsidP="00BD14D9">
      <w:pPr>
        <w:rPr>
          <w:rFonts w:eastAsia="Times New Roman" w:cs="Times New Roman"/>
          <w:sz w:val="24"/>
          <w:szCs w:val="20"/>
          <w:lang w:eastAsia="de-DE"/>
        </w:rPr>
      </w:pPr>
    </w:p>
    <w:p w:rsidR="00BD14D9" w:rsidRDefault="00BD14D9" w:rsidP="00BD14D9">
      <w:pPr>
        <w:rPr>
          <w:rFonts w:eastAsia="Times New Roman" w:cs="Times New Roman"/>
          <w:sz w:val="24"/>
          <w:szCs w:val="20"/>
          <w:lang w:eastAsia="de-DE"/>
        </w:rPr>
      </w:pPr>
    </w:p>
    <w:p w:rsidR="004F4679" w:rsidRPr="0083631A" w:rsidRDefault="004F4679" w:rsidP="00BD14D9">
      <w:pPr>
        <w:rPr>
          <w:rFonts w:eastAsia="Times New Roman" w:cs="Times New Roman"/>
          <w:sz w:val="24"/>
          <w:szCs w:val="20"/>
          <w:lang w:eastAsia="de-DE"/>
        </w:rPr>
      </w:pPr>
    </w:p>
    <w:p w:rsidR="00BD14D9" w:rsidRPr="0083631A" w:rsidRDefault="00BD14D9" w:rsidP="00BD14D9">
      <w:pPr>
        <w:jc w:val="center"/>
        <w:rPr>
          <w:rFonts w:eastAsia="Times New Roman" w:cs="Times New Roman"/>
          <w:sz w:val="24"/>
          <w:szCs w:val="20"/>
          <w:u w:val="single"/>
          <w:lang w:eastAsia="de-DE"/>
        </w:rPr>
      </w:pPr>
      <w:r w:rsidRPr="0083631A">
        <w:rPr>
          <w:rFonts w:eastAsia="Times New Roman" w:cs="Times New Roman"/>
          <w:sz w:val="24"/>
          <w:szCs w:val="20"/>
          <w:u w:val="single"/>
          <w:lang w:eastAsia="de-DE"/>
        </w:rPr>
        <w:t>Aktenvermerk:</w:t>
      </w:r>
    </w:p>
    <w:p w:rsidR="00BD14D9" w:rsidRPr="0083631A" w:rsidRDefault="00BD14D9" w:rsidP="00BD14D9">
      <w:pPr>
        <w:rPr>
          <w:rFonts w:eastAsia="Times New Roman" w:cs="Times New Roman"/>
          <w:sz w:val="24"/>
          <w:szCs w:val="20"/>
          <w:lang w:eastAsia="de-DE"/>
        </w:rPr>
      </w:pPr>
    </w:p>
    <w:p w:rsidR="00DA76C5" w:rsidRDefault="00BD14D9" w:rsidP="00BD14D9">
      <w:pPr>
        <w:rPr>
          <w:rFonts w:eastAsia="Times New Roman" w:cs="Times New Roman"/>
          <w:sz w:val="24"/>
          <w:szCs w:val="20"/>
          <w:lang w:eastAsia="de-DE"/>
        </w:rPr>
      </w:pPr>
      <w:r>
        <w:t xml:space="preserve">Die Gemeinde </w:t>
      </w:r>
      <w:proofErr w:type="spellStart"/>
      <w:r>
        <w:t>Moosthenning</w:t>
      </w:r>
      <w:proofErr w:type="spellEnd"/>
      <w:r>
        <w:t xml:space="preserve"> hat die </w:t>
      </w:r>
      <w:r>
        <w:rPr>
          <w:rFonts w:eastAsia="Times New Roman" w:cs="Times New Roman"/>
          <w:sz w:val="24"/>
          <w:szCs w:val="20"/>
          <w:lang w:eastAsia="de-DE"/>
        </w:rPr>
        <w:t xml:space="preserve">Umgestaltung </w:t>
      </w:r>
      <w:r>
        <w:rPr>
          <w:rFonts w:eastAsia="Times New Roman" w:cs="Times New Roman"/>
          <w:sz w:val="24"/>
          <w:szCs w:val="20"/>
          <w:lang w:eastAsia="de-DE"/>
        </w:rPr>
        <w:t xml:space="preserve">des </w:t>
      </w:r>
      <w:r>
        <w:rPr>
          <w:rFonts w:eastAsia="Times New Roman" w:cs="Times New Roman"/>
          <w:sz w:val="24"/>
          <w:szCs w:val="20"/>
          <w:lang w:eastAsia="de-DE"/>
        </w:rPr>
        <w:t>Forstergraben</w:t>
      </w:r>
      <w:r>
        <w:rPr>
          <w:rFonts w:eastAsia="Times New Roman" w:cs="Times New Roman"/>
          <w:sz w:val="24"/>
          <w:szCs w:val="20"/>
          <w:lang w:eastAsia="de-DE"/>
        </w:rPr>
        <w:t>s</w:t>
      </w:r>
      <w:r>
        <w:rPr>
          <w:rFonts w:eastAsia="Times New Roman" w:cs="Times New Roman"/>
          <w:sz w:val="24"/>
          <w:szCs w:val="20"/>
          <w:lang w:eastAsia="de-DE"/>
        </w:rPr>
        <w:t xml:space="preserve"> und Erweiterung </w:t>
      </w:r>
      <w:r>
        <w:rPr>
          <w:rFonts w:eastAsia="Times New Roman" w:cs="Times New Roman"/>
          <w:sz w:val="24"/>
          <w:szCs w:val="20"/>
          <w:lang w:eastAsia="de-DE"/>
        </w:rPr>
        <w:t xml:space="preserve">des </w:t>
      </w:r>
      <w:r>
        <w:rPr>
          <w:rFonts w:eastAsia="Times New Roman" w:cs="Times New Roman"/>
          <w:sz w:val="24"/>
          <w:szCs w:val="20"/>
          <w:lang w:eastAsia="de-DE"/>
        </w:rPr>
        <w:t>Rückhaltebecken</w:t>
      </w:r>
      <w:r>
        <w:rPr>
          <w:rFonts w:eastAsia="Times New Roman" w:cs="Times New Roman"/>
          <w:sz w:val="24"/>
          <w:szCs w:val="20"/>
          <w:lang w:eastAsia="de-DE"/>
        </w:rPr>
        <w:t>s</w:t>
      </w:r>
      <w:r>
        <w:rPr>
          <w:rFonts w:eastAsia="Times New Roman" w:cs="Times New Roman"/>
          <w:sz w:val="24"/>
          <w:szCs w:val="20"/>
          <w:lang w:eastAsia="de-DE"/>
        </w:rPr>
        <w:t xml:space="preserve"> (</w:t>
      </w:r>
      <w:proofErr w:type="spellStart"/>
      <w:r>
        <w:rPr>
          <w:rFonts w:eastAsia="Times New Roman" w:cs="Times New Roman"/>
          <w:sz w:val="24"/>
          <w:szCs w:val="20"/>
          <w:lang w:eastAsia="de-DE"/>
        </w:rPr>
        <w:t>FlNr</w:t>
      </w:r>
      <w:proofErr w:type="spellEnd"/>
      <w:r>
        <w:rPr>
          <w:rFonts w:eastAsia="Times New Roman" w:cs="Times New Roman"/>
          <w:sz w:val="24"/>
          <w:szCs w:val="20"/>
          <w:lang w:eastAsia="de-DE"/>
        </w:rPr>
        <w:t xml:space="preserve">. 315, Gem. </w:t>
      </w:r>
      <w:proofErr w:type="spellStart"/>
      <w:r>
        <w:rPr>
          <w:rFonts w:eastAsia="Times New Roman" w:cs="Times New Roman"/>
          <w:sz w:val="24"/>
          <w:szCs w:val="20"/>
          <w:lang w:eastAsia="de-DE"/>
        </w:rPr>
        <w:t>Moosthenning</w:t>
      </w:r>
      <w:proofErr w:type="spellEnd"/>
      <w:r>
        <w:rPr>
          <w:rFonts w:eastAsia="Times New Roman" w:cs="Times New Roman"/>
          <w:sz w:val="24"/>
          <w:szCs w:val="20"/>
          <w:lang w:eastAsia="de-DE"/>
        </w:rPr>
        <w:t>)</w:t>
      </w:r>
      <w:r>
        <w:rPr>
          <w:rFonts w:eastAsia="Times New Roman" w:cs="Times New Roman"/>
          <w:sz w:val="24"/>
          <w:szCs w:val="20"/>
          <w:lang w:eastAsia="de-DE"/>
        </w:rPr>
        <w:t xml:space="preserve"> beantragt. </w:t>
      </w:r>
    </w:p>
    <w:p w:rsidR="003D68FC" w:rsidRDefault="003D68FC" w:rsidP="00BD14D9">
      <w:pPr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Für das Vorhaben war eine standortbezogene Vorprüfung durchzuführen (Nummer 13.18.2 der Anlage 1 zum UVPG, § 7 Abs. 2 UVPG).</w:t>
      </w:r>
    </w:p>
    <w:p w:rsidR="003D68FC" w:rsidRDefault="003D68FC" w:rsidP="00BD14D9">
      <w:pPr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 xml:space="preserve">Die Prüfung in der ersten Stufe hat ergeben, </w:t>
      </w:r>
      <w:r w:rsidR="00A50FC5">
        <w:rPr>
          <w:rFonts w:eastAsia="Times New Roman" w:cs="Times New Roman"/>
          <w:sz w:val="24"/>
          <w:szCs w:val="20"/>
          <w:lang w:eastAsia="de-DE"/>
        </w:rPr>
        <w:t>dass keine besonderen örtlichen G</w:t>
      </w:r>
      <w:r>
        <w:rPr>
          <w:rFonts w:eastAsia="Times New Roman" w:cs="Times New Roman"/>
          <w:sz w:val="24"/>
          <w:szCs w:val="20"/>
          <w:lang w:eastAsia="de-DE"/>
        </w:rPr>
        <w:t xml:space="preserve">egebenheiten gem. den in Anlage 3 Nummer 2.3 </w:t>
      </w:r>
      <w:r w:rsidR="00A50FC5">
        <w:rPr>
          <w:rFonts w:eastAsia="Times New Roman" w:cs="Times New Roman"/>
          <w:sz w:val="24"/>
          <w:szCs w:val="20"/>
          <w:lang w:eastAsia="de-DE"/>
        </w:rPr>
        <w:t>aufgeführten Schutzkriterien vorliegen.</w:t>
      </w:r>
    </w:p>
    <w:p w:rsidR="00A50FC5" w:rsidRDefault="00A50FC5" w:rsidP="00BD14D9">
      <w:pPr>
        <w:rPr>
          <w:rFonts w:eastAsia="Times New Roman" w:cs="Times New Roman"/>
          <w:sz w:val="24"/>
          <w:szCs w:val="20"/>
          <w:lang w:eastAsia="de-DE"/>
        </w:rPr>
      </w:pPr>
    </w:p>
    <w:p w:rsidR="00A50FC5" w:rsidRDefault="00A50FC5" w:rsidP="00BD14D9">
      <w:pPr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Eine UVP-Pflicht besteht deshalb nicht (§ 7 Abs. 2 Satz 4 UVPG).</w:t>
      </w:r>
    </w:p>
    <w:p w:rsidR="00CC13E2" w:rsidRDefault="00CC13E2" w:rsidP="00BD14D9">
      <w:pPr>
        <w:rPr>
          <w:rFonts w:eastAsia="Times New Roman" w:cs="Times New Roman"/>
          <w:sz w:val="24"/>
          <w:szCs w:val="20"/>
          <w:lang w:eastAsia="de-DE"/>
        </w:rPr>
      </w:pPr>
    </w:p>
    <w:p w:rsidR="00CC13E2" w:rsidRPr="0083631A" w:rsidRDefault="00CC13E2" w:rsidP="00CC13E2">
      <w:pPr>
        <w:rPr>
          <w:rFonts w:eastAsia="Times New Roman" w:cs="Times New Roman"/>
          <w:lang w:eastAsia="de-DE"/>
        </w:rPr>
      </w:pPr>
      <w:r w:rsidRPr="0083631A">
        <w:rPr>
          <w:rFonts w:eastAsia="Times New Roman" w:cs="Times New Roman"/>
          <w:lang w:eastAsia="de-DE"/>
        </w:rPr>
        <w:t>Landratsamt Dingolfing-Landau</w:t>
      </w:r>
    </w:p>
    <w:p w:rsidR="00CC13E2" w:rsidRPr="0083631A" w:rsidRDefault="00CC13E2" w:rsidP="00CC13E2">
      <w:pPr>
        <w:rPr>
          <w:rFonts w:eastAsia="Times New Roman" w:cs="Times New Roman"/>
          <w:lang w:eastAsia="de-DE"/>
        </w:rPr>
      </w:pPr>
      <w:r w:rsidRPr="0083631A">
        <w:rPr>
          <w:rFonts w:eastAsia="Times New Roman" w:cs="Times New Roman"/>
          <w:lang w:eastAsia="de-DE"/>
        </w:rPr>
        <w:t xml:space="preserve">Dingolfing, den </w:t>
      </w:r>
      <w:r w:rsidR="004F4679">
        <w:rPr>
          <w:rFonts w:eastAsia="Times New Roman" w:cs="Times New Roman"/>
          <w:lang w:eastAsia="de-DE"/>
        </w:rPr>
        <w:t>15.02.2019</w:t>
      </w:r>
    </w:p>
    <w:p w:rsidR="00CC13E2" w:rsidRPr="005348B4" w:rsidRDefault="00CC13E2" w:rsidP="00CC13E2">
      <w:pPr>
        <w:rPr>
          <w:rFonts w:eastAsia="Times New Roman" w:cs="Times New Roman"/>
          <w:lang w:eastAsia="de-DE"/>
        </w:rPr>
      </w:pPr>
    </w:p>
    <w:p w:rsidR="00CC13E2" w:rsidRPr="005348B4" w:rsidRDefault="00CC13E2" w:rsidP="00CC13E2">
      <w:pPr>
        <w:rPr>
          <w:rFonts w:eastAsia="Times New Roman" w:cs="Times New Roman"/>
          <w:lang w:eastAsia="de-DE"/>
        </w:rPr>
      </w:pPr>
    </w:p>
    <w:p w:rsidR="00CC13E2" w:rsidRPr="005348B4" w:rsidRDefault="00CC13E2" w:rsidP="00CC13E2">
      <w:pPr>
        <w:rPr>
          <w:rFonts w:eastAsia="Times New Roman" w:cs="Times New Roman"/>
          <w:lang w:eastAsia="de-DE"/>
        </w:rPr>
      </w:pPr>
    </w:p>
    <w:p w:rsidR="00CC13E2" w:rsidRPr="005348B4" w:rsidRDefault="00CC13E2" w:rsidP="00CC13E2">
      <w:pPr>
        <w:rPr>
          <w:rFonts w:eastAsia="Times New Roman" w:cs="Times New Roman"/>
          <w:lang w:eastAsia="de-DE"/>
        </w:rPr>
      </w:pPr>
      <w:r w:rsidRPr="005348B4">
        <w:rPr>
          <w:rFonts w:eastAsia="Times New Roman" w:cs="Times New Roman"/>
          <w:lang w:eastAsia="de-DE"/>
        </w:rPr>
        <w:t>Schmid</w:t>
      </w:r>
    </w:p>
    <w:p w:rsidR="00CC13E2" w:rsidRDefault="00CC13E2" w:rsidP="00BD14D9">
      <w:bookmarkStart w:id="0" w:name="_GoBack"/>
      <w:bookmarkEnd w:id="0"/>
    </w:p>
    <w:sectPr w:rsidR="00CC1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D9"/>
    <w:rsid w:val="0008376A"/>
    <w:rsid w:val="003D68FC"/>
    <w:rsid w:val="004F4679"/>
    <w:rsid w:val="0054219A"/>
    <w:rsid w:val="008167F2"/>
    <w:rsid w:val="00A50FC5"/>
    <w:rsid w:val="00BD14D9"/>
    <w:rsid w:val="00CC13E2"/>
    <w:rsid w:val="00D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501B"/>
  <w15:chartTrackingRefBased/>
  <w15:docId w15:val="{DEC002FC-325E-443C-AB5D-2CEBF196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14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6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5053D638.dotm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1</cp:revision>
  <cp:lastPrinted>2019-02-15T09:16:00Z</cp:lastPrinted>
  <dcterms:created xsi:type="dcterms:W3CDTF">2019-02-15T08:33:00Z</dcterms:created>
  <dcterms:modified xsi:type="dcterms:W3CDTF">2019-02-15T09:19:00Z</dcterms:modified>
</cp:coreProperties>
</file>