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A6A" w:rsidRDefault="00A5260A">
      <w:pPr>
        <w:rPr>
          <w:rFonts w:ascii="Arial" w:hAnsi="Arial" w:cs="Arial"/>
          <w:sz w:val="22"/>
          <w:szCs w:val="22"/>
        </w:rPr>
      </w:pPr>
      <w:bookmarkStart w:id="0" w:name="_GoBack"/>
      <w:bookmarkEnd w:id="0"/>
      <w:r>
        <w:rPr>
          <w:rFonts w:ascii="Arial" w:hAnsi="Arial" w:cs="Arial"/>
          <w:sz w:val="22"/>
          <w:szCs w:val="22"/>
        </w:rPr>
        <w:t>Fb 42/Wasserrecht</w:t>
      </w:r>
    </w:p>
    <w:p w:rsidR="00A5260A" w:rsidRDefault="00A5260A">
      <w:pPr>
        <w:rPr>
          <w:rFonts w:ascii="Arial" w:hAnsi="Arial" w:cs="Arial"/>
          <w:sz w:val="22"/>
          <w:szCs w:val="22"/>
        </w:rPr>
      </w:pPr>
    </w:p>
    <w:p w:rsidR="00A5260A" w:rsidRDefault="00A5260A">
      <w:pPr>
        <w:rPr>
          <w:rFonts w:ascii="Arial" w:hAnsi="Arial" w:cs="Arial"/>
          <w:sz w:val="22"/>
          <w:szCs w:val="22"/>
        </w:rPr>
      </w:pPr>
      <w:r>
        <w:rPr>
          <w:rFonts w:ascii="Arial" w:hAnsi="Arial" w:cs="Arial"/>
          <w:sz w:val="22"/>
          <w:szCs w:val="22"/>
        </w:rPr>
        <w:t>Wasserrecht und Umweltverträglichkeitsprüfung</w:t>
      </w:r>
    </w:p>
    <w:p w:rsidR="00A5260A" w:rsidRDefault="00A5260A">
      <w:pPr>
        <w:rPr>
          <w:rFonts w:ascii="Arial" w:hAnsi="Arial" w:cs="Arial"/>
          <w:sz w:val="22"/>
          <w:szCs w:val="22"/>
        </w:rPr>
      </w:pPr>
    </w:p>
    <w:p w:rsidR="00A5260A" w:rsidRDefault="002D3557">
      <w:pPr>
        <w:rPr>
          <w:rFonts w:ascii="Arial" w:hAnsi="Arial" w:cs="Arial"/>
          <w:sz w:val="22"/>
          <w:szCs w:val="22"/>
        </w:rPr>
      </w:pPr>
      <w:r>
        <w:rPr>
          <w:rFonts w:ascii="Arial" w:hAnsi="Arial" w:cs="Arial"/>
          <w:sz w:val="22"/>
          <w:szCs w:val="22"/>
        </w:rPr>
        <w:t>Betrieb der kommunalen Kläranlage durch den Markt Buchbach und Einleitung des gereinigten Abwassers in den Einstettinger Bach (Flur-Nrn. 1225/1 und 1231, Gem. Walkersaich)</w:t>
      </w:r>
    </w:p>
    <w:p w:rsidR="00A5260A" w:rsidRDefault="00A5260A">
      <w:pPr>
        <w:rPr>
          <w:rFonts w:ascii="Arial" w:hAnsi="Arial" w:cs="Arial"/>
          <w:sz w:val="22"/>
          <w:szCs w:val="22"/>
        </w:rPr>
      </w:pPr>
    </w:p>
    <w:p w:rsidR="00A5260A" w:rsidRDefault="00A5260A">
      <w:pPr>
        <w:rPr>
          <w:rFonts w:ascii="Arial" w:hAnsi="Arial" w:cs="Arial"/>
          <w:sz w:val="22"/>
          <w:szCs w:val="22"/>
        </w:rPr>
      </w:pPr>
    </w:p>
    <w:p w:rsidR="00A5260A" w:rsidRDefault="00A5260A" w:rsidP="00A5260A">
      <w:pPr>
        <w:jc w:val="center"/>
        <w:rPr>
          <w:rFonts w:ascii="Arial" w:hAnsi="Arial" w:cs="Arial"/>
          <w:sz w:val="22"/>
          <w:szCs w:val="22"/>
        </w:rPr>
      </w:pPr>
      <w:r>
        <w:rPr>
          <w:rFonts w:ascii="Arial" w:hAnsi="Arial" w:cs="Arial"/>
          <w:sz w:val="22"/>
          <w:szCs w:val="22"/>
        </w:rPr>
        <w:t>Bekanntmachung über das Ergebnis der Vorprüfung zur Feststellung der UPV-Pflich</w:t>
      </w:r>
      <w:r w:rsidR="008C461A">
        <w:rPr>
          <w:rFonts w:ascii="Arial" w:hAnsi="Arial" w:cs="Arial"/>
          <w:sz w:val="22"/>
          <w:szCs w:val="22"/>
        </w:rPr>
        <w:t>t</w:t>
      </w:r>
    </w:p>
    <w:p w:rsidR="00A5260A" w:rsidRDefault="00A5260A" w:rsidP="00A5260A">
      <w:pPr>
        <w:jc w:val="center"/>
        <w:rPr>
          <w:rFonts w:ascii="Arial" w:hAnsi="Arial" w:cs="Arial"/>
          <w:sz w:val="22"/>
          <w:szCs w:val="22"/>
        </w:rPr>
      </w:pPr>
      <w:r>
        <w:rPr>
          <w:rFonts w:ascii="Arial" w:hAnsi="Arial" w:cs="Arial"/>
          <w:sz w:val="22"/>
          <w:szCs w:val="22"/>
        </w:rPr>
        <w:t>(Umweltverträglichkeitsprüfung)</w:t>
      </w:r>
    </w:p>
    <w:p w:rsidR="00A5260A" w:rsidRDefault="00A5260A" w:rsidP="00A5260A">
      <w:pPr>
        <w:jc w:val="center"/>
        <w:rPr>
          <w:rFonts w:ascii="Arial" w:hAnsi="Arial" w:cs="Arial"/>
          <w:sz w:val="22"/>
          <w:szCs w:val="22"/>
        </w:rPr>
      </w:pPr>
    </w:p>
    <w:p w:rsidR="00A5260A" w:rsidRDefault="00A5260A" w:rsidP="00A5260A">
      <w:pPr>
        <w:jc w:val="center"/>
        <w:rPr>
          <w:rFonts w:ascii="Arial" w:hAnsi="Arial" w:cs="Arial"/>
          <w:sz w:val="22"/>
          <w:szCs w:val="22"/>
        </w:rPr>
      </w:pPr>
    </w:p>
    <w:p w:rsidR="002D3557" w:rsidRDefault="002D3557" w:rsidP="00A5260A">
      <w:pPr>
        <w:rPr>
          <w:rFonts w:ascii="Arial" w:hAnsi="Arial" w:cs="Arial"/>
          <w:sz w:val="22"/>
          <w:szCs w:val="22"/>
        </w:rPr>
      </w:pPr>
      <w:r>
        <w:rPr>
          <w:rFonts w:ascii="Arial" w:hAnsi="Arial" w:cs="Arial"/>
          <w:sz w:val="22"/>
          <w:szCs w:val="22"/>
        </w:rPr>
        <w:t xml:space="preserve">Der Markt Buchbach betreibt auf Flur-Nr. 1225/1, Gem. Walkersaich, seit 1989 eine Kläranlage. Änderungen erfolgten zuletzt in den Jahren 2012 und 2017. </w:t>
      </w:r>
      <w:r w:rsidRPr="002D3557">
        <w:rPr>
          <w:rFonts w:ascii="Arial" w:hAnsi="Arial" w:cs="Arial"/>
          <w:sz w:val="22"/>
          <w:szCs w:val="22"/>
        </w:rPr>
        <w:t>Die für die beantragte Ausbaugröße zugrunde gelegte BSB5-Fracht (roh) im Zulauf der Kläranlage beträgt 180 kg/d (entsprechend 3.000 EW</w:t>
      </w:r>
      <w:r w:rsidRPr="002D3557">
        <w:rPr>
          <w:rFonts w:ascii="Arial" w:hAnsi="Arial" w:cs="Arial"/>
          <w:sz w:val="22"/>
          <w:szCs w:val="22"/>
          <w:vertAlign w:val="subscript"/>
        </w:rPr>
        <w:t>60</w:t>
      </w:r>
      <w:r w:rsidRPr="002D3557">
        <w:rPr>
          <w:rFonts w:ascii="Arial" w:hAnsi="Arial" w:cs="Arial"/>
          <w:sz w:val="22"/>
          <w:szCs w:val="22"/>
        </w:rPr>
        <w:t>).</w:t>
      </w:r>
      <w:r w:rsidR="00E5177C">
        <w:rPr>
          <w:rFonts w:ascii="Arial" w:hAnsi="Arial" w:cs="Arial"/>
          <w:sz w:val="22"/>
          <w:szCs w:val="22"/>
        </w:rPr>
        <w:t xml:space="preserve"> Als Überwachungswerte bei der Einleitung in den Einstettinger Bach werden festgelegt:</w:t>
      </w:r>
    </w:p>
    <w:p w:rsidR="00E5177C" w:rsidRDefault="00E5177C" w:rsidP="00A5260A">
      <w:pPr>
        <w:rPr>
          <w:rFonts w:ascii="Arial" w:hAnsi="Arial" w:cs="Arial"/>
          <w:sz w:val="22"/>
          <w:szCs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1"/>
        <w:gridCol w:w="1561"/>
      </w:tblGrid>
      <w:tr w:rsidR="00E5177C" w:rsidRPr="00E5177C" w:rsidTr="008A5B55">
        <w:trPr>
          <w:trHeight w:val="695"/>
        </w:trPr>
        <w:tc>
          <w:tcPr>
            <w:tcW w:w="4991" w:type="dxa"/>
          </w:tcPr>
          <w:p w:rsidR="00E5177C" w:rsidRPr="00E5177C" w:rsidRDefault="00E5177C" w:rsidP="00E5177C">
            <w:pPr>
              <w:spacing w:before="52" w:line="278" w:lineRule="auto"/>
              <w:ind w:left="69" w:right="343"/>
              <w:rPr>
                <w:rFonts w:ascii="Arial" w:eastAsia="Arial" w:hAnsi="Arial" w:cs="Arial"/>
                <w:sz w:val="22"/>
                <w:szCs w:val="22"/>
                <w:lang w:bidi="de-DE"/>
              </w:rPr>
            </w:pPr>
            <w:r w:rsidRPr="00E5177C">
              <w:rPr>
                <w:rFonts w:ascii="Arial" w:eastAsia="Arial" w:hAnsi="Arial" w:cs="Arial"/>
                <w:sz w:val="22"/>
                <w:szCs w:val="22"/>
                <w:lang w:bidi="de-DE"/>
              </w:rPr>
              <w:t>Von der nicht abgesetzten, homogenisierten qualifizierten Stichprobe:</w:t>
            </w:r>
          </w:p>
        </w:tc>
        <w:tc>
          <w:tcPr>
            <w:tcW w:w="1561" w:type="dxa"/>
          </w:tcPr>
          <w:p w:rsidR="00E5177C" w:rsidRPr="00E5177C" w:rsidRDefault="00E5177C" w:rsidP="00E5177C">
            <w:pPr>
              <w:spacing w:before="52" w:line="278" w:lineRule="auto"/>
              <w:ind w:left="496" w:right="76" w:hanging="399"/>
              <w:rPr>
                <w:rFonts w:ascii="Arial" w:eastAsia="Arial" w:hAnsi="Arial" w:cs="Arial"/>
                <w:sz w:val="22"/>
                <w:szCs w:val="22"/>
                <w:lang w:bidi="de-DE"/>
              </w:rPr>
            </w:pPr>
            <w:r w:rsidRPr="00E5177C">
              <w:rPr>
                <w:rFonts w:ascii="Arial" w:eastAsia="Arial" w:hAnsi="Arial" w:cs="Arial"/>
                <w:sz w:val="22"/>
                <w:szCs w:val="22"/>
                <w:lang w:bidi="de-DE"/>
              </w:rPr>
              <w:t>Konzentration (mg/l)</w:t>
            </w:r>
          </w:p>
        </w:tc>
      </w:tr>
      <w:tr w:rsidR="00E5177C" w:rsidRPr="00E5177C" w:rsidTr="008A5B55">
        <w:trPr>
          <w:trHeight w:val="405"/>
        </w:trPr>
        <w:tc>
          <w:tcPr>
            <w:tcW w:w="4991" w:type="dxa"/>
          </w:tcPr>
          <w:p w:rsidR="00E5177C" w:rsidRPr="00E5177C" w:rsidRDefault="00E5177C" w:rsidP="00E5177C">
            <w:pPr>
              <w:spacing w:before="55"/>
              <w:ind w:left="69"/>
              <w:rPr>
                <w:rFonts w:ascii="Arial" w:eastAsia="Arial" w:hAnsi="Arial" w:cs="Arial"/>
                <w:sz w:val="22"/>
                <w:szCs w:val="22"/>
                <w:lang w:bidi="de-DE"/>
              </w:rPr>
            </w:pPr>
            <w:r w:rsidRPr="00E5177C">
              <w:rPr>
                <w:rFonts w:ascii="Arial" w:eastAsia="Arial" w:hAnsi="Arial" w:cs="Arial"/>
                <w:sz w:val="22"/>
                <w:szCs w:val="22"/>
                <w:lang w:bidi="de-DE"/>
              </w:rPr>
              <w:t>Chemischer Sauerstoffbedarf (CSB)</w:t>
            </w:r>
          </w:p>
        </w:tc>
        <w:tc>
          <w:tcPr>
            <w:tcW w:w="1561" w:type="dxa"/>
          </w:tcPr>
          <w:p w:rsidR="00E5177C" w:rsidRPr="00E5177C" w:rsidRDefault="00E5177C" w:rsidP="00E5177C">
            <w:pPr>
              <w:spacing w:before="55"/>
              <w:ind w:right="649"/>
              <w:jc w:val="right"/>
              <w:rPr>
                <w:rFonts w:ascii="Arial" w:eastAsia="Arial" w:hAnsi="Arial" w:cs="Arial"/>
                <w:sz w:val="22"/>
                <w:szCs w:val="22"/>
                <w:lang w:bidi="de-DE"/>
              </w:rPr>
            </w:pPr>
            <w:r w:rsidRPr="00E5177C">
              <w:rPr>
                <w:rFonts w:ascii="Arial" w:eastAsia="Arial" w:hAnsi="Arial" w:cs="Arial"/>
                <w:sz w:val="22"/>
                <w:szCs w:val="22"/>
                <w:lang w:bidi="de-DE"/>
              </w:rPr>
              <w:t>40</w:t>
            </w:r>
          </w:p>
        </w:tc>
      </w:tr>
      <w:tr w:rsidR="00E5177C" w:rsidRPr="00E5177C" w:rsidTr="008A5B55">
        <w:trPr>
          <w:trHeight w:val="405"/>
        </w:trPr>
        <w:tc>
          <w:tcPr>
            <w:tcW w:w="4991" w:type="dxa"/>
          </w:tcPr>
          <w:p w:rsidR="00E5177C" w:rsidRPr="00E5177C" w:rsidRDefault="00E5177C" w:rsidP="00E5177C">
            <w:pPr>
              <w:spacing w:before="54"/>
              <w:ind w:left="69"/>
              <w:rPr>
                <w:rFonts w:ascii="Arial" w:eastAsia="Arial" w:hAnsi="Arial" w:cs="Arial"/>
                <w:sz w:val="22"/>
                <w:szCs w:val="22"/>
                <w:lang w:bidi="de-DE"/>
              </w:rPr>
            </w:pPr>
            <w:r w:rsidRPr="00E5177C">
              <w:rPr>
                <w:rFonts w:ascii="Arial" w:eastAsia="Arial" w:hAnsi="Arial" w:cs="Arial"/>
                <w:position w:val="1"/>
                <w:sz w:val="22"/>
                <w:szCs w:val="22"/>
                <w:lang w:bidi="de-DE"/>
              </w:rPr>
              <w:t>Biochemischer Sauerstoffbedarf (BSB</w:t>
            </w:r>
            <w:r w:rsidRPr="00E5177C">
              <w:rPr>
                <w:rFonts w:ascii="Arial" w:eastAsia="Arial" w:hAnsi="Arial" w:cs="Arial"/>
                <w:sz w:val="12"/>
                <w:szCs w:val="22"/>
                <w:lang w:bidi="de-DE"/>
              </w:rPr>
              <w:t>5</w:t>
            </w:r>
            <w:r w:rsidRPr="00E5177C">
              <w:rPr>
                <w:rFonts w:ascii="Arial" w:eastAsia="Arial" w:hAnsi="Arial" w:cs="Arial"/>
                <w:position w:val="1"/>
                <w:sz w:val="22"/>
                <w:szCs w:val="22"/>
                <w:lang w:bidi="de-DE"/>
              </w:rPr>
              <w:t>)</w:t>
            </w:r>
          </w:p>
        </w:tc>
        <w:tc>
          <w:tcPr>
            <w:tcW w:w="1561" w:type="dxa"/>
          </w:tcPr>
          <w:p w:rsidR="00E5177C" w:rsidRPr="00E5177C" w:rsidRDefault="00E5177C" w:rsidP="00E5177C">
            <w:pPr>
              <w:spacing w:before="55"/>
              <w:ind w:right="649"/>
              <w:jc w:val="right"/>
              <w:rPr>
                <w:rFonts w:ascii="Arial" w:eastAsia="Arial" w:hAnsi="Arial" w:cs="Arial"/>
                <w:sz w:val="22"/>
                <w:szCs w:val="22"/>
                <w:lang w:bidi="de-DE"/>
              </w:rPr>
            </w:pPr>
            <w:r w:rsidRPr="00E5177C">
              <w:rPr>
                <w:rFonts w:ascii="Arial" w:eastAsia="Arial" w:hAnsi="Arial" w:cs="Arial"/>
                <w:sz w:val="22"/>
                <w:szCs w:val="22"/>
                <w:lang w:bidi="de-DE"/>
              </w:rPr>
              <w:t>20</w:t>
            </w:r>
          </w:p>
        </w:tc>
      </w:tr>
      <w:tr w:rsidR="00E5177C" w:rsidRPr="00E5177C" w:rsidTr="008A5B55">
        <w:trPr>
          <w:trHeight w:val="985"/>
        </w:trPr>
        <w:tc>
          <w:tcPr>
            <w:tcW w:w="4991" w:type="dxa"/>
          </w:tcPr>
          <w:p w:rsidR="00E5177C" w:rsidRPr="00E5177C" w:rsidRDefault="00E5177C" w:rsidP="00E5177C">
            <w:pPr>
              <w:spacing w:before="52" w:line="278" w:lineRule="auto"/>
              <w:ind w:left="69" w:right="82"/>
              <w:rPr>
                <w:rFonts w:ascii="Arial" w:eastAsia="Arial" w:hAnsi="Arial" w:cs="Arial"/>
                <w:sz w:val="22"/>
                <w:szCs w:val="22"/>
                <w:lang w:bidi="de-DE"/>
              </w:rPr>
            </w:pPr>
            <w:r w:rsidRPr="00E5177C">
              <w:rPr>
                <w:rFonts w:ascii="Arial" w:eastAsia="Arial" w:hAnsi="Arial" w:cs="Arial"/>
                <w:position w:val="1"/>
                <w:sz w:val="22"/>
                <w:szCs w:val="22"/>
                <w:lang w:bidi="de-DE"/>
              </w:rPr>
              <w:t>Stickstoff gesamt (N</w:t>
            </w:r>
            <w:r w:rsidRPr="00E5177C">
              <w:rPr>
                <w:rFonts w:ascii="Arial" w:eastAsia="Arial" w:hAnsi="Arial" w:cs="Arial"/>
                <w:sz w:val="12"/>
                <w:szCs w:val="22"/>
                <w:lang w:bidi="de-DE"/>
              </w:rPr>
              <w:t>ges</w:t>
            </w:r>
            <w:r w:rsidRPr="00E5177C">
              <w:rPr>
                <w:rFonts w:ascii="Arial" w:eastAsia="Arial" w:hAnsi="Arial" w:cs="Arial"/>
                <w:position w:val="1"/>
                <w:sz w:val="22"/>
                <w:szCs w:val="22"/>
                <w:lang w:bidi="de-DE"/>
              </w:rPr>
              <w:t xml:space="preserve">) als Summe von Ammo- </w:t>
            </w:r>
            <w:r w:rsidRPr="00E5177C">
              <w:rPr>
                <w:rFonts w:ascii="Arial" w:eastAsia="Arial" w:hAnsi="Arial" w:cs="Arial"/>
                <w:sz w:val="22"/>
                <w:szCs w:val="22"/>
                <w:lang w:bidi="de-DE"/>
              </w:rPr>
              <w:t>nium-, Nitrit- und Nitrat-Stickstoff vom</w:t>
            </w:r>
          </w:p>
          <w:p w:rsidR="00E5177C" w:rsidRPr="00E5177C" w:rsidRDefault="00E5177C" w:rsidP="00E5177C">
            <w:pPr>
              <w:spacing w:line="250" w:lineRule="exact"/>
              <w:ind w:left="69"/>
              <w:rPr>
                <w:rFonts w:ascii="Arial" w:eastAsia="Arial" w:hAnsi="Arial" w:cs="Arial"/>
                <w:sz w:val="22"/>
                <w:szCs w:val="22"/>
                <w:lang w:bidi="de-DE"/>
              </w:rPr>
            </w:pPr>
            <w:r w:rsidRPr="00E5177C">
              <w:rPr>
                <w:rFonts w:ascii="Arial" w:eastAsia="Arial" w:hAnsi="Arial" w:cs="Arial"/>
                <w:sz w:val="22"/>
                <w:szCs w:val="22"/>
                <w:lang w:bidi="de-DE"/>
              </w:rPr>
              <w:t>01. Mai bis 31. Oktober</w:t>
            </w:r>
          </w:p>
        </w:tc>
        <w:tc>
          <w:tcPr>
            <w:tcW w:w="1561" w:type="dxa"/>
          </w:tcPr>
          <w:p w:rsidR="00E5177C" w:rsidRPr="00E5177C" w:rsidRDefault="00E5177C" w:rsidP="00E5177C">
            <w:pPr>
              <w:rPr>
                <w:rFonts w:ascii="Arial" w:eastAsia="Arial" w:hAnsi="Arial" w:cs="Arial"/>
                <w:sz w:val="30"/>
                <w:szCs w:val="22"/>
                <w:lang w:bidi="de-DE"/>
              </w:rPr>
            </w:pPr>
          </w:p>
          <w:p w:rsidR="00E5177C" w:rsidRPr="00E5177C" w:rsidRDefault="00E5177C" w:rsidP="00E5177C">
            <w:pPr>
              <w:ind w:right="649"/>
              <w:jc w:val="right"/>
              <w:rPr>
                <w:rFonts w:ascii="Arial" w:eastAsia="Arial" w:hAnsi="Arial" w:cs="Arial"/>
                <w:sz w:val="22"/>
                <w:szCs w:val="22"/>
                <w:lang w:bidi="de-DE"/>
              </w:rPr>
            </w:pPr>
            <w:r w:rsidRPr="00E5177C">
              <w:rPr>
                <w:rFonts w:ascii="Arial" w:eastAsia="Arial" w:hAnsi="Arial" w:cs="Arial"/>
                <w:sz w:val="22"/>
                <w:szCs w:val="22"/>
                <w:lang w:bidi="de-DE"/>
              </w:rPr>
              <w:t>13</w:t>
            </w:r>
          </w:p>
        </w:tc>
      </w:tr>
      <w:tr w:rsidR="00E5177C" w:rsidRPr="00E5177C" w:rsidTr="008A5B55">
        <w:trPr>
          <w:trHeight w:val="405"/>
        </w:trPr>
        <w:tc>
          <w:tcPr>
            <w:tcW w:w="4991" w:type="dxa"/>
          </w:tcPr>
          <w:p w:rsidR="00E5177C" w:rsidRPr="00E5177C" w:rsidRDefault="00E5177C" w:rsidP="00E5177C">
            <w:pPr>
              <w:spacing w:before="54"/>
              <w:ind w:left="69"/>
              <w:rPr>
                <w:rFonts w:ascii="Arial" w:eastAsia="Arial" w:hAnsi="Arial" w:cs="Arial"/>
                <w:sz w:val="22"/>
                <w:szCs w:val="22"/>
                <w:lang w:bidi="de-DE"/>
              </w:rPr>
            </w:pPr>
            <w:r w:rsidRPr="00E5177C">
              <w:rPr>
                <w:rFonts w:ascii="Arial" w:eastAsia="Arial" w:hAnsi="Arial" w:cs="Arial"/>
                <w:position w:val="1"/>
                <w:sz w:val="22"/>
                <w:szCs w:val="22"/>
                <w:lang w:bidi="de-DE"/>
              </w:rPr>
              <w:t>Phosphor gesamt (P</w:t>
            </w:r>
            <w:r w:rsidRPr="00E5177C">
              <w:rPr>
                <w:rFonts w:ascii="Arial" w:eastAsia="Arial" w:hAnsi="Arial" w:cs="Arial"/>
                <w:sz w:val="12"/>
                <w:szCs w:val="22"/>
                <w:lang w:bidi="de-DE"/>
              </w:rPr>
              <w:t>ges</w:t>
            </w:r>
            <w:r w:rsidRPr="00E5177C">
              <w:rPr>
                <w:rFonts w:ascii="Arial" w:eastAsia="Arial" w:hAnsi="Arial" w:cs="Arial"/>
                <w:position w:val="1"/>
                <w:sz w:val="22"/>
                <w:szCs w:val="22"/>
                <w:lang w:bidi="de-DE"/>
              </w:rPr>
              <w:t>)</w:t>
            </w:r>
          </w:p>
        </w:tc>
        <w:tc>
          <w:tcPr>
            <w:tcW w:w="1561" w:type="dxa"/>
          </w:tcPr>
          <w:p w:rsidR="00E5177C" w:rsidRPr="00E5177C" w:rsidRDefault="00E5177C" w:rsidP="00E5177C">
            <w:pPr>
              <w:spacing w:before="55"/>
              <w:ind w:right="708"/>
              <w:jc w:val="right"/>
              <w:rPr>
                <w:rFonts w:ascii="Arial" w:eastAsia="Arial" w:hAnsi="Arial" w:cs="Arial"/>
                <w:sz w:val="22"/>
                <w:szCs w:val="22"/>
                <w:lang w:bidi="de-DE"/>
              </w:rPr>
            </w:pPr>
            <w:r w:rsidRPr="00E5177C">
              <w:rPr>
                <w:rFonts w:ascii="Arial" w:eastAsia="Arial" w:hAnsi="Arial" w:cs="Arial"/>
                <w:sz w:val="22"/>
                <w:szCs w:val="22"/>
                <w:lang w:bidi="de-DE"/>
              </w:rPr>
              <w:t>2</w:t>
            </w:r>
          </w:p>
        </w:tc>
      </w:tr>
    </w:tbl>
    <w:p w:rsidR="00E5177C" w:rsidRDefault="00E5177C" w:rsidP="00A5260A">
      <w:pPr>
        <w:rPr>
          <w:rFonts w:ascii="Arial" w:hAnsi="Arial" w:cs="Arial"/>
          <w:sz w:val="22"/>
          <w:szCs w:val="22"/>
        </w:rPr>
      </w:pPr>
    </w:p>
    <w:p w:rsidR="008C461A" w:rsidRPr="008C461A" w:rsidRDefault="00E5177C" w:rsidP="008C461A">
      <w:pPr>
        <w:rPr>
          <w:rFonts w:ascii="Arial" w:hAnsi="Arial" w:cs="Arial"/>
          <w:sz w:val="22"/>
          <w:szCs w:val="22"/>
        </w:rPr>
      </w:pPr>
      <w:r>
        <w:rPr>
          <w:rFonts w:ascii="Arial" w:hAnsi="Arial" w:cs="Arial"/>
          <w:sz w:val="22"/>
          <w:szCs w:val="22"/>
        </w:rPr>
        <w:t xml:space="preserve">Die für die Einleitung in den Einstettinger Bach notwendige wasserrechtliche Erlaubnis endet aufgrund einer Befristung zum 31.12.2021. Der Gemeinde wird eine neue gehobene Erlaubnis, befristet bis 31.12.2040, erteilt (§ 9 Abs. 1 Nr. 4, § 8 Abs. 1, § 15, § 57 Wasserhaushaltsgesetz). </w:t>
      </w:r>
      <w:r w:rsidR="008C461A">
        <w:rPr>
          <w:rFonts w:ascii="Arial" w:hAnsi="Arial" w:cs="Arial"/>
          <w:sz w:val="22"/>
          <w:szCs w:val="22"/>
        </w:rPr>
        <w:t xml:space="preserve">Zur Entscheidung hierüber ist das Landratsamt Mühldorf a. Inn sachlich und örtlich zuständig </w:t>
      </w:r>
      <w:r w:rsidR="008C461A" w:rsidRPr="008C461A">
        <w:rPr>
          <w:rFonts w:ascii="Arial" w:hAnsi="Arial" w:cs="Arial"/>
          <w:sz w:val="22"/>
          <w:szCs w:val="22"/>
        </w:rPr>
        <w:t>(Art. 63 Abs. 1 Satz 2 Bayer. Wassergesetz</w:t>
      </w:r>
      <w:r w:rsidR="008C461A">
        <w:rPr>
          <w:rFonts w:ascii="Arial" w:hAnsi="Arial" w:cs="Arial"/>
          <w:sz w:val="22"/>
          <w:szCs w:val="22"/>
        </w:rPr>
        <w:t>,</w:t>
      </w:r>
      <w:r w:rsidR="008C461A" w:rsidRPr="008C461A">
        <w:rPr>
          <w:rFonts w:ascii="Arial" w:hAnsi="Arial" w:cs="Arial"/>
          <w:sz w:val="22"/>
          <w:szCs w:val="22"/>
        </w:rPr>
        <w:t xml:space="preserve"> Art. 37 Abs. 1 Satz 2 Landkreisordnung, Art. 3 Abs. 1 Nr. 1 Bayer. Verwaltungsverfahrensgesetz).</w:t>
      </w:r>
    </w:p>
    <w:p w:rsidR="008C461A" w:rsidRDefault="008C461A" w:rsidP="00A5260A">
      <w:pPr>
        <w:rPr>
          <w:rFonts w:ascii="Arial" w:hAnsi="Arial" w:cs="Arial"/>
          <w:sz w:val="22"/>
          <w:szCs w:val="22"/>
        </w:rPr>
      </w:pPr>
    </w:p>
    <w:p w:rsidR="008C461A" w:rsidRDefault="00E5177C" w:rsidP="00A5260A">
      <w:pPr>
        <w:rPr>
          <w:rFonts w:ascii="Arial" w:hAnsi="Arial" w:cs="Arial"/>
          <w:sz w:val="22"/>
          <w:szCs w:val="22"/>
        </w:rPr>
      </w:pPr>
      <w:r>
        <w:rPr>
          <w:rFonts w:ascii="Arial" w:hAnsi="Arial" w:cs="Arial"/>
          <w:sz w:val="22"/>
          <w:szCs w:val="22"/>
        </w:rPr>
        <w:t>Es wurde eine standortbezogene Umweltverträglichkeits-Vorprüfung durchgeführt (§ 9 Abs. 2 Nr. 2</w:t>
      </w:r>
      <w:r w:rsidR="0070762B">
        <w:rPr>
          <w:rFonts w:ascii="Arial" w:hAnsi="Arial" w:cs="Arial"/>
          <w:sz w:val="22"/>
          <w:szCs w:val="22"/>
        </w:rPr>
        <w:t xml:space="preserve"> und Abs. 4</w:t>
      </w:r>
      <w:r>
        <w:rPr>
          <w:rFonts w:ascii="Arial" w:hAnsi="Arial" w:cs="Arial"/>
          <w:sz w:val="22"/>
          <w:szCs w:val="22"/>
        </w:rPr>
        <w:t xml:space="preserve">, </w:t>
      </w:r>
      <w:r w:rsidR="0070762B">
        <w:rPr>
          <w:rFonts w:ascii="Arial" w:hAnsi="Arial" w:cs="Arial"/>
          <w:sz w:val="22"/>
          <w:szCs w:val="22"/>
        </w:rPr>
        <w:t xml:space="preserve">Anlage 1 Nr. 13.1.3, § 7 Abs. 2 UVPG). </w:t>
      </w:r>
      <w:r w:rsidR="0096367B">
        <w:rPr>
          <w:rFonts w:ascii="Arial" w:hAnsi="Arial" w:cs="Arial"/>
          <w:sz w:val="22"/>
          <w:szCs w:val="22"/>
        </w:rPr>
        <w:t xml:space="preserve">Die Vorprüfung hat ergeben, dass die in der Anlage 3 Nr. 2.3 genannten Schutzkriterien auf o.g. Grundstück nicht betroffen sind. Erhebliche nachteilige Auswirkungen sind durch den Bau nicht zu erwarten. Aus diesem Grund unterbleibt eine Umweltverträglichkeitsprüfung </w:t>
      </w:r>
      <w:r w:rsidR="0096367B" w:rsidRPr="0096367B">
        <w:rPr>
          <w:rFonts w:ascii="Arial" w:hAnsi="Arial" w:cs="Arial"/>
          <w:sz w:val="22"/>
          <w:szCs w:val="22"/>
        </w:rPr>
        <w:t>(§ 7 Abs. 2 UVPG)</w:t>
      </w:r>
      <w:r w:rsidR="0070762B">
        <w:rPr>
          <w:rFonts w:ascii="Arial" w:hAnsi="Arial" w:cs="Arial"/>
          <w:sz w:val="22"/>
          <w:szCs w:val="22"/>
        </w:rPr>
        <w:t>.</w:t>
      </w:r>
    </w:p>
    <w:p w:rsidR="0070762B" w:rsidRDefault="0070762B" w:rsidP="00A5260A">
      <w:pPr>
        <w:rPr>
          <w:rFonts w:ascii="Arial" w:hAnsi="Arial" w:cs="Arial"/>
          <w:sz w:val="22"/>
          <w:szCs w:val="22"/>
        </w:rPr>
      </w:pPr>
    </w:p>
    <w:p w:rsidR="0070762B" w:rsidRDefault="0070762B" w:rsidP="00A5260A">
      <w:pPr>
        <w:rPr>
          <w:rFonts w:ascii="Arial" w:hAnsi="Arial" w:cs="Arial"/>
          <w:sz w:val="22"/>
          <w:szCs w:val="22"/>
        </w:rPr>
      </w:pPr>
      <w:r>
        <w:rPr>
          <w:rFonts w:ascii="Arial" w:hAnsi="Arial" w:cs="Arial"/>
          <w:sz w:val="22"/>
          <w:szCs w:val="22"/>
        </w:rPr>
        <w:t xml:space="preserve">Die unter Anlage 3 Nr. 2.3 genannten Gebiete liegen im Bereich der Kläranlage nicht vor, bzw. werden durch die Kläranlage nicht beeinflusst. Schutzgüter wie Gewässer, Luft, Flora oder Fauna werden durch die Weiternutzung der Kläranlage nicht beeinträchtigt. Die gesetzlichen Anforderungen an die Einleitung in das Gewässer werden eingehalten. Anfallende Rückstände und Abfälle werden ordnungsgemäß gelagert und verwertet. Die technischen Einrichtungen der Kläranlage sind so ausgeführt, dass nachteilige Auswirkungen auf die Umwelt ausgeschlossen werden können. </w:t>
      </w:r>
    </w:p>
    <w:p w:rsidR="0096367B" w:rsidRDefault="0096367B" w:rsidP="00A5260A">
      <w:pPr>
        <w:rPr>
          <w:rFonts w:ascii="Arial" w:hAnsi="Arial" w:cs="Arial"/>
          <w:sz w:val="22"/>
          <w:szCs w:val="22"/>
        </w:rPr>
      </w:pPr>
    </w:p>
    <w:p w:rsidR="0096367B" w:rsidRDefault="0096367B" w:rsidP="00A5260A">
      <w:pPr>
        <w:rPr>
          <w:rFonts w:ascii="Arial" w:hAnsi="Arial" w:cs="Arial"/>
          <w:sz w:val="22"/>
          <w:szCs w:val="22"/>
        </w:rPr>
      </w:pPr>
      <w:r>
        <w:rPr>
          <w:rFonts w:ascii="Arial" w:hAnsi="Arial" w:cs="Arial"/>
          <w:sz w:val="22"/>
          <w:szCs w:val="22"/>
        </w:rPr>
        <w:t>Diese Feststellung wird hiermit entsprechend § 5 Abs. 2 UVPG der Öffentlichkeit bekannt gegeben. Es wird darauf hingewiesen, dass diese Entscheidung nicht selbständig anfechtbar ist (§ 5 Abs. 3 UVPG).</w:t>
      </w:r>
    </w:p>
    <w:p w:rsidR="0096367B" w:rsidRDefault="0096367B" w:rsidP="00A5260A">
      <w:pPr>
        <w:rPr>
          <w:rFonts w:ascii="Arial" w:hAnsi="Arial" w:cs="Arial"/>
          <w:sz w:val="22"/>
          <w:szCs w:val="22"/>
        </w:rPr>
      </w:pPr>
    </w:p>
    <w:p w:rsidR="0096367B" w:rsidRDefault="0096367B" w:rsidP="00A5260A">
      <w:pPr>
        <w:rPr>
          <w:rFonts w:ascii="Arial" w:hAnsi="Arial" w:cs="Arial"/>
          <w:sz w:val="22"/>
          <w:szCs w:val="22"/>
        </w:rPr>
      </w:pPr>
    </w:p>
    <w:p w:rsidR="0096367B" w:rsidRDefault="0096367B" w:rsidP="00A5260A">
      <w:pPr>
        <w:rPr>
          <w:rFonts w:ascii="Arial" w:hAnsi="Arial" w:cs="Arial"/>
          <w:sz w:val="22"/>
          <w:szCs w:val="22"/>
        </w:rPr>
      </w:pPr>
      <w:r>
        <w:rPr>
          <w:rFonts w:ascii="Arial" w:hAnsi="Arial" w:cs="Arial"/>
          <w:sz w:val="22"/>
          <w:szCs w:val="22"/>
        </w:rPr>
        <w:t>Landratsamt Mühldorf a. Inn, den 23.0</w:t>
      </w:r>
      <w:r w:rsidR="0070762B">
        <w:rPr>
          <w:rFonts w:ascii="Arial" w:hAnsi="Arial" w:cs="Arial"/>
          <w:sz w:val="22"/>
          <w:szCs w:val="22"/>
        </w:rPr>
        <w:t>8</w:t>
      </w:r>
      <w:r>
        <w:rPr>
          <w:rFonts w:ascii="Arial" w:hAnsi="Arial" w:cs="Arial"/>
          <w:sz w:val="22"/>
          <w:szCs w:val="22"/>
        </w:rPr>
        <w:t>.202</w:t>
      </w:r>
      <w:r w:rsidR="0070762B">
        <w:rPr>
          <w:rFonts w:ascii="Arial" w:hAnsi="Arial" w:cs="Arial"/>
          <w:sz w:val="22"/>
          <w:szCs w:val="22"/>
        </w:rPr>
        <w:t>1</w:t>
      </w:r>
    </w:p>
    <w:p w:rsidR="0096367B" w:rsidRDefault="0096367B" w:rsidP="00A5260A">
      <w:pPr>
        <w:rPr>
          <w:rFonts w:ascii="Arial" w:hAnsi="Arial" w:cs="Arial"/>
          <w:sz w:val="22"/>
          <w:szCs w:val="22"/>
        </w:rPr>
      </w:pPr>
    </w:p>
    <w:p w:rsidR="0096367B" w:rsidRDefault="0096367B" w:rsidP="00A5260A">
      <w:pPr>
        <w:rPr>
          <w:rFonts w:ascii="Arial" w:hAnsi="Arial" w:cs="Arial"/>
          <w:sz w:val="22"/>
          <w:szCs w:val="22"/>
        </w:rPr>
      </w:pPr>
    </w:p>
    <w:p w:rsidR="004D7ECC" w:rsidRDefault="004D7ECC" w:rsidP="00A5260A">
      <w:pPr>
        <w:rPr>
          <w:rFonts w:ascii="Arial" w:hAnsi="Arial" w:cs="Arial"/>
          <w:sz w:val="22"/>
          <w:szCs w:val="22"/>
        </w:rPr>
      </w:pPr>
    </w:p>
    <w:p w:rsidR="0096367B" w:rsidRPr="00A5260A" w:rsidRDefault="0096367B" w:rsidP="00A5260A">
      <w:pPr>
        <w:rPr>
          <w:rFonts w:ascii="Arial" w:hAnsi="Arial" w:cs="Arial"/>
          <w:sz w:val="22"/>
          <w:szCs w:val="22"/>
        </w:rPr>
      </w:pPr>
      <w:r>
        <w:rPr>
          <w:rFonts w:ascii="Arial" w:hAnsi="Arial" w:cs="Arial"/>
          <w:sz w:val="22"/>
          <w:szCs w:val="22"/>
        </w:rPr>
        <w:t>Huber</w:t>
      </w:r>
    </w:p>
    <w:sectPr w:rsidR="0096367B" w:rsidRPr="00A5260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60A" w:rsidRDefault="00A5260A">
      <w:r>
        <w:separator/>
      </w:r>
    </w:p>
  </w:endnote>
  <w:endnote w:type="continuationSeparator" w:id="0">
    <w:p w:rsidR="00A5260A" w:rsidRDefault="00A5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60A" w:rsidRDefault="00A5260A">
      <w:r>
        <w:separator/>
      </w:r>
    </w:p>
  </w:footnote>
  <w:footnote w:type="continuationSeparator" w:id="0">
    <w:p w:rsidR="00A5260A" w:rsidRDefault="00A52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0A"/>
    <w:rsid w:val="002D3557"/>
    <w:rsid w:val="003A1DDA"/>
    <w:rsid w:val="003D43D2"/>
    <w:rsid w:val="003D4548"/>
    <w:rsid w:val="004D7ECC"/>
    <w:rsid w:val="0070762B"/>
    <w:rsid w:val="007B1A6A"/>
    <w:rsid w:val="008C461A"/>
    <w:rsid w:val="0096367B"/>
    <w:rsid w:val="009D2BE8"/>
    <w:rsid w:val="00A5260A"/>
    <w:rsid w:val="00E51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B3234F-8BF1-4651-80B6-4C9B5C69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customStyle="1" w:styleId="TableNormal">
    <w:name w:val="Table Normal"/>
    <w:uiPriority w:val="2"/>
    <w:semiHidden/>
    <w:unhideWhenUsed/>
    <w:qFormat/>
    <w:rsid w:val="00E5177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Landratsamt</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Claudia</dc:creator>
  <cp:lastModifiedBy>Huber Claudia</cp:lastModifiedBy>
  <cp:revision>2</cp:revision>
  <dcterms:created xsi:type="dcterms:W3CDTF">2021-08-23T08:37:00Z</dcterms:created>
  <dcterms:modified xsi:type="dcterms:W3CDTF">2021-08-23T08:37:00Z</dcterms:modified>
</cp:coreProperties>
</file>