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4047" w14:textId="2EBCEF81" w:rsidR="000F3686" w:rsidRPr="00BE1092" w:rsidRDefault="00D67AD7" w:rsidP="00BE1092">
      <w:pPr>
        <w:spacing w:after="0" w:line="240" w:lineRule="auto"/>
        <w:rPr>
          <w:rFonts w:ascii="Arial" w:hAnsi="Arial" w:cs="Arial"/>
        </w:rPr>
      </w:pPr>
      <w:r w:rsidRPr="00BE1092">
        <w:rPr>
          <w:rFonts w:ascii="Arial" w:hAnsi="Arial" w:cs="Arial"/>
        </w:rPr>
        <w:t>863/2/11/45-230-Üb.</w:t>
      </w:r>
    </w:p>
    <w:p w14:paraId="37EAFC71" w14:textId="77777777" w:rsidR="00D67AD7" w:rsidRPr="00BE1092" w:rsidRDefault="00D67AD7" w:rsidP="00BE1092">
      <w:pPr>
        <w:spacing w:after="0" w:line="240" w:lineRule="auto"/>
        <w:rPr>
          <w:rFonts w:ascii="Arial" w:hAnsi="Arial" w:cs="Arial"/>
        </w:rPr>
      </w:pPr>
    </w:p>
    <w:p w14:paraId="455401FF" w14:textId="77777777" w:rsidR="00D67AD7" w:rsidRPr="00BE1092" w:rsidRDefault="00D67AD7" w:rsidP="00BE1092">
      <w:pPr>
        <w:spacing w:after="0" w:line="240" w:lineRule="auto"/>
        <w:rPr>
          <w:rFonts w:ascii="Arial" w:hAnsi="Arial" w:cs="Arial"/>
        </w:rPr>
      </w:pPr>
    </w:p>
    <w:p w14:paraId="42A6DF89" w14:textId="63F047C5" w:rsidR="00D67AD7" w:rsidRPr="00BE1092" w:rsidRDefault="00CE12E2" w:rsidP="00BE1092">
      <w:pPr>
        <w:spacing w:after="0" w:line="240" w:lineRule="auto"/>
        <w:rPr>
          <w:rFonts w:ascii="Arial" w:hAnsi="Arial" w:cs="Arial"/>
        </w:rPr>
      </w:pPr>
      <w:r>
        <w:rPr>
          <w:rFonts w:ascii="Arial" w:hAnsi="Arial" w:cs="Arial"/>
        </w:rPr>
        <w:t>Vollzug der Wassergesetze und des UVPG</w:t>
      </w:r>
    </w:p>
    <w:p w14:paraId="55AB4B50" w14:textId="76F7E6D2" w:rsidR="00D67AD7" w:rsidRDefault="00D67AD7" w:rsidP="00BE1092">
      <w:pPr>
        <w:spacing w:after="0" w:line="240" w:lineRule="auto"/>
        <w:rPr>
          <w:rFonts w:ascii="Arial" w:hAnsi="Arial" w:cs="Arial"/>
        </w:rPr>
      </w:pPr>
      <w:r w:rsidRPr="00BE1092">
        <w:rPr>
          <w:rFonts w:ascii="Arial" w:hAnsi="Arial" w:cs="Arial"/>
        </w:rPr>
        <w:t xml:space="preserve">Antrag des Zweckverbands zu Wasserversorgung der </w:t>
      </w:r>
      <w:proofErr w:type="spellStart"/>
      <w:r w:rsidRPr="00BE1092">
        <w:rPr>
          <w:rFonts w:ascii="Arial" w:hAnsi="Arial" w:cs="Arial"/>
        </w:rPr>
        <w:t>Konnersreuther</w:t>
      </w:r>
      <w:proofErr w:type="spellEnd"/>
      <w:r w:rsidRPr="00BE1092">
        <w:rPr>
          <w:rFonts w:ascii="Arial" w:hAnsi="Arial" w:cs="Arial"/>
        </w:rPr>
        <w:t xml:space="preserve"> Gruppe auf Erteilung einer gehobenen Erlaubnis für die Entnahme von Grundwasser aus den Quellen bei </w:t>
      </w:r>
      <w:proofErr w:type="spellStart"/>
      <w:r w:rsidRPr="00BE1092">
        <w:rPr>
          <w:rFonts w:ascii="Arial" w:hAnsi="Arial" w:cs="Arial"/>
        </w:rPr>
        <w:t>Groppenheim</w:t>
      </w:r>
      <w:proofErr w:type="spellEnd"/>
      <w:r w:rsidRPr="00BE1092">
        <w:rPr>
          <w:rFonts w:ascii="Arial" w:hAnsi="Arial" w:cs="Arial"/>
        </w:rPr>
        <w:t xml:space="preserve"> für die öffentliche Trinkwasserversorgung im Versorgungsgebiet des Zweckverbands;</w:t>
      </w:r>
    </w:p>
    <w:p w14:paraId="1DB28FA6" w14:textId="2E73B3B1" w:rsidR="00CE12E2" w:rsidRPr="00BE1092" w:rsidRDefault="00CE12E2" w:rsidP="00BE1092">
      <w:pPr>
        <w:spacing w:after="0" w:line="240" w:lineRule="auto"/>
        <w:rPr>
          <w:rFonts w:ascii="Arial" w:hAnsi="Arial" w:cs="Arial"/>
        </w:rPr>
      </w:pPr>
      <w:r>
        <w:rPr>
          <w:rFonts w:ascii="Arial" w:hAnsi="Arial" w:cs="Arial"/>
        </w:rPr>
        <w:t>Allgemeine Vorprüfung nach § 7 UVPG</w:t>
      </w:r>
    </w:p>
    <w:p w14:paraId="745E7BFF" w14:textId="77777777" w:rsidR="00D67AD7" w:rsidRPr="00BE1092" w:rsidRDefault="00D67AD7" w:rsidP="00BE1092">
      <w:pPr>
        <w:spacing w:after="0" w:line="240" w:lineRule="auto"/>
        <w:rPr>
          <w:rFonts w:ascii="Arial" w:hAnsi="Arial" w:cs="Arial"/>
        </w:rPr>
      </w:pPr>
    </w:p>
    <w:p w14:paraId="19C595E7" w14:textId="77777777" w:rsidR="00D67AD7" w:rsidRPr="00BE1092" w:rsidRDefault="00D67AD7" w:rsidP="00BE1092">
      <w:pPr>
        <w:spacing w:after="0" w:line="240" w:lineRule="auto"/>
        <w:rPr>
          <w:rFonts w:ascii="Arial" w:hAnsi="Arial" w:cs="Arial"/>
        </w:rPr>
      </w:pPr>
    </w:p>
    <w:p w14:paraId="48B47002" w14:textId="77777777" w:rsidR="00D67AD7" w:rsidRPr="00BE1092" w:rsidRDefault="00D67AD7" w:rsidP="00BE1092">
      <w:pPr>
        <w:spacing w:after="0" w:line="240" w:lineRule="auto"/>
        <w:rPr>
          <w:rFonts w:ascii="Arial" w:hAnsi="Arial" w:cs="Arial"/>
        </w:rPr>
      </w:pPr>
    </w:p>
    <w:p w14:paraId="3F482615" w14:textId="3DAADCE0" w:rsidR="00D67AD7" w:rsidRDefault="00D67AD7" w:rsidP="00BE1092">
      <w:pPr>
        <w:pStyle w:val="Listenabsatz"/>
        <w:numPr>
          <w:ilvl w:val="0"/>
          <w:numId w:val="1"/>
        </w:numPr>
        <w:spacing w:after="0" w:line="240" w:lineRule="auto"/>
        <w:ind w:left="0" w:hanging="567"/>
        <w:rPr>
          <w:rFonts w:ascii="Arial" w:hAnsi="Arial" w:cs="Arial"/>
          <w:u w:val="single"/>
        </w:rPr>
      </w:pPr>
      <w:r w:rsidRPr="00BE1092">
        <w:rPr>
          <w:rFonts w:ascii="Arial" w:hAnsi="Arial" w:cs="Arial"/>
          <w:u w:val="single"/>
        </w:rPr>
        <w:t>Aktenvermerk</w:t>
      </w:r>
      <w:r w:rsidR="00C5352D">
        <w:rPr>
          <w:rFonts w:ascii="Arial" w:hAnsi="Arial" w:cs="Arial"/>
          <w:u w:val="single"/>
        </w:rPr>
        <w:t>:</w:t>
      </w:r>
    </w:p>
    <w:p w14:paraId="0F3A9F3A" w14:textId="070322EF" w:rsidR="00C5352D" w:rsidRDefault="00C5352D" w:rsidP="00C5352D">
      <w:pPr>
        <w:spacing w:after="0" w:line="240" w:lineRule="auto"/>
        <w:rPr>
          <w:rFonts w:ascii="Arial" w:hAnsi="Arial" w:cs="Arial"/>
        </w:rPr>
      </w:pPr>
      <w:r w:rsidRPr="00C5352D">
        <w:rPr>
          <w:rFonts w:ascii="Arial" w:hAnsi="Arial" w:cs="Arial"/>
        </w:rPr>
        <w:t>Der Zweckverband</w:t>
      </w:r>
      <w:r>
        <w:rPr>
          <w:rFonts w:ascii="Arial" w:hAnsi="Arial" w:cs="Arial"/>
        </w:rPr>
        <w:t xml:space="preserve"> zur Wasserversorgung der </w:t>
      </w:r>
      <w:proofErr w:type="spellStart"/>
      <w:r>
        <w:rPr>
          <w:rFonts w:ascii="Arial" w:hAnsi="Arial" w:cs="Arial"/>
        </w:rPr>
        <w:t>Konnersreuther</w:t>
      </w:r>
      <w:proofErr w:type="spellEnd"/>
      <w:r>
        <w:rPr>
          <w:rFonts w:ascii="Arial" w:hAnsi="Arial" w:cs="Arial"/>
        </w:rPr>
        <w:t xml:space="preserve"> Gruppe betreibt nahe </w:t>
      </w:r>
      <w:proofErr w:type="spellStart"/>
      <w:r>
        <w:rPr>
          <w:rFonts w:ascii="Arial" w:hAnsi="Arial" w:cs="Arial"/>
        </w:rPr>
        <w:t>Groppenheim</w:t>
      </w:r>
      <w:proofErr w:type="spellEnd"/>
      <w:r>
        <w:rPr>
          <w:rFonts w:ascii="Arial" w:hAnsi="Arial" w:cs="Arial"/>
        </w:rPr>
        <w:t xml:space="preserve"> drei Quellen zur Trinkwassergewinnung. Angeschlossen sind die Ortschaften Konnersreuth, </w:t>
      </w:r>
      <w:proofErr w:type="spellStart"/>
      <w:r>
        <w:rPr>
          <w:rFonts w:ascii="Arial" w:hAnsi="Arial" w:cs="Arial"/>
        </w:rPr>
        <w:t>Groppenheim</w:t>
      </w:r>
      <w:proofErr w:type="spellEnd"/>
      <w:r>
        <w:rPr>
          <w:rFonts w:ascii="Arial" w:hAnsi="Arial" w:cs="Arial"/>
        </w:rPr>
        <w:t xml:space="preserve">, Grün, </w:t>
      </w:r>
      <w:proofErr w:type="spellStart"/>
      <w:r>
        <w:rPr>
          <w:rFonts w:ascii="Arial" w:hAnsi="Arial" w:cs="Arial"/>
        </w:rPr>
        <w:t>Höflas</w:t>
      </w:r>
      <w:proofErr w:type="spellEnd"/>
      <w:r>
        <w:rPr>
          <w:rFonts w:ascii="Arial" w:hAnsi="Arial" w:cs="Arial"/>
        </w:rPr>
        <w:t>, Rosenbühl und Neudorf.</w:t>
      </w:r>
    </w:p>
    <w:p w14:paraId="49F69C8B" w14:textId="68188B00" w:rsidR="00C5352D" w:rsidRDefault="00C5352D" w:rsidP="00C5352D">
      <w:pPr>
        <w:spacing w:after="0" w:line="240" w:lineRule="auto"/>
        <w:rPr>
          <w:rFonts w:ascii="Arial" w:hAnsi="Arial" w:cs="Arial"/>
        </w:rPr>
      </w:pPr>
      <w:r>
        <w:rPr>
          <w:rFonts w:ascii="Arial" w:hAnsi="Arial" w:cs="Arial"/>
        </w:rPr>
        <w:t>Das Wasserrecht für diese Quellen läuft 2025 aus. Daher hat der Zweckverband nun Unterlagen zur Neuerteilung einer gehobenen wasserrechtlichen Erlaubnis für die Nutzung dieser Quellen beantragt.</w:t>
      </w:r>
    </w:p>
    <w:p w14:paraId="2693AF4A" w14:textId="77777777" w:rsidR="00CE12E2" w:rsidRDefault="00CE12E2" w:rsidP="00C5352D">
      <w:pPr>
        <w:spacing w:after="0" w:line="240" w:lineRule="auto"/>
        <w:rPr>
          <w:rFonts w:ascii="Arial" w:hAnsi="Arial" w:cs="Arial"/>
        </w:rPr>
      </w:pPr>
    </w:p>
    <w:p w14:paraId="0B612B07" w14:textId="471F9AF4" w:rsidR="00C5352D" w:rsidRDefault="00CE12E2" w:rsidP="00C5352D">
      <w:pPr>
        <w:spacing w:after="0" w:line="240" w:lineRule="auto"/>
        <w:rPr>
          <w:rFonts w:ascii="Arial" w:hAnsi="Arial" w:cs="Arial"/>
        </w:rPr>
      </w:pPr>
      <w:r>
        <w:rPr>
          <w:rFonts w:ascii="Arial" w:hAnsi="Arial" w:cs="Arial"/>
        </w:rPr>
        <w:t xml:space="preserve">Beantragt wurde, dass aus den </w:t>
      </w:r>
      <w:r w:rsidR="00C5352D">
        <w:rPr>
          <w:rFonts w:ascii="Arial" w:hAnsi="Arial" w:cs="Arial"/>
        </w:rPr>
        <w:t>drei Quellen zukünftig bis zu maximal 110.000 m³/a abgeleitet werden.</w:t>
      </w:r>
    </w:p>
    <w:p w14:paraId="6398B4A1" w14:textId="77777777" w:rsidR="00CE12E2" w:rsidRDefault="00CE12E2" w:rsidP="00C5352D">
      <w:pPr>
        <w:spacing w:after="0" w:line="240" w:lineRule="auto"/>
        <w:rPr>
          <w:rFonts w:ascii="Arial" w:hAnsi="Arial" w:cs="Arial"/>
        </w:rPr>
      </w:pPr>
    </w:p>
    <w:p w14:paraId="35641507" w14:textId="32F3A96F" w:rsidR="00CE12E2" w:rsidRDefault="00CE12E2" w:rsidP="00C5352D">
      <w:pPr>
        <w:spacing w:after="0" w:line="240" w:lineRule="auto"/>
        <w:rPr>
          <w:rFonts w:ascii="Arial" w:hAnsi="Arial" w:cs="Arial"/>
        </w:rPr>
      </w:pPr>
      <w:r>
        <w:rPr>
          <w:rFonts w:ascii="Arial" w:hAnsi="Arial" w:cs="Arial"/>
        </w:rPr>
        <w:t>Bei diesen Entnahmemengen ist gemäß § 7 Abs. 1 UVPG i. V. m. Ziffer 13.3.2 der Anlage 1 zum UVPG eine allgemeine Vorprüfung durchzuführen. Die allgemeine Vorprüfung wird als überschlägige Prüfung und Berücksichtigung der in Anlage 3 zum UVPG aufgeführten Kriterien durchgeführt.</w:t>
      </w:r>
    </w:p>
    <w:p w14:paraId="4D970459" w14:textId="77777777" w:rsidR="00CE12E2" w:rsidRDefault="00CE12E2" w:rsidP="00C5352D">
      <w:pPr>
        <w:spacing w:after="0" w:line="240" w:lineRule="auto"/>
        <w:rPr>
          <w:rFonts w:ascii="Arial" w:hAnsi="Arial" w:cs="Arial"/>
        </w:rPr>
      </w:pPr>
    </w:p>
    <w:p w14:paraId="3D84AEEA" w14:textId="4FA83336" w:rsidR="00CE12E2" w:rsidRDefault="00984B2C" w:rsidP="00C5352D">
      <w:pPr>
        <w:spacing w:after="0" w:line="240" w:lineRule="auto"/>
        <w:rPr>
          <w:rFonts w:ascii="Arial" w:hAnsi="Arial" w:cs="Arial"/>
        </w:rPr>
      </w:pPr>
      <w:r>
        <w:rPr>
          <w:rFonts w:ascii="Arial" w:hAnsi="Arial" w:cs="Arial"/>
        </w:rPr>
        <w:t>Dieser Überprüfung zugrunde liegen die Antragsunterlagen bestehend aus:</w:t>
      </w:r>
    </w:p>
    <w:p w14:paraId="51C422DC" w14:textId="238353DB" w:rsidR="00984B2C" w:rsidRDefault="00984B2C" w:rsidP="00984B2C">
      <w:pPr>
        <w:pStyle w:val="Listenabsatz"/>
        <w:numPr>
          <w:ilvl w:val="0"/>
          <w:numId w:val="2"/>
        </w:numPr>
        <w:spacing w:after="0" w:line="240" w:lineRule="auto"/>
        <w:rPr>
          <w:rFonts w:ascii="Arial" w:hAnsi="Arial" w:cs="Arial"/>
        </w:rPr>
      </w:pPr>
      <w:r>
        <w:rPr>
          <w:rFonts w:ascii="Arial" w:hAnsi="Arial" w:cs="Arial"/>
        </w:rPr>
        <w:t>Erläuterungsbericht</w:t>
      </w:r>
    </w:p>
    <w:p w14:paraId="02258B03" w14:textId="5B6FB682" w:rsidR="00984B2C" w:rsidRDefault="00984B2C" w:rsidP="00984B2C">
      <w:pPr>
        <w:pStyle w:val="Listenabsatz"/>
        <w:numPr>
          <w:ilvl w:val="0"/>
          <w:numId w:val="2"/>
        </w:numPr>
        <w:spacing w:after="0" w:line="240" w:lineRule="auto"/>
        <w:rPr>
          <w:rFonts w:ascii="Arial" w:hAnsi="Arial" w:cs="Arial"/>
        </w:rPr>
      </w:pPr>
      <w:r>
        <w:rPr>
          <w:rFonts w:ascii="Arial" w:hAnsi="Arial" w:cs="Arial"/>
        </w:rPr>
        <w:t>Lageplänen</w:t>
      </w:r>
    </w:p>
    <w:p w14:paraId="52716E79" w14:textId="13F06B7C" w:rsidR="00984B2C" w:rsidRDefault="00984B2C" w:rsidP="00984B2C">
      <w:pPr>
        <w:pStyle w:val="Listenabsatz"/>
        <w:numPr>
          <w:ilvl w:val="0"/>
          <w:numId w:val="2"/>
        </w:numPr>
        <w:spacing w:after="0" w:line="240" w:lineRule="auto"/>
        <w:rPr>
          <w:rFonts w:ascii="Arial" w:hAnsi="Arial" w:cs="Arial"/>
        </w:rPr>
      </w:pPr>
      <w:r>
        <w:rPr>
          <w:rFonts w:ascii="Arial" w:hAnsi="Arial" w:cs="Arial"/>
        </w:rPr>
        <w:t>Bauw</w:t>
      </w:r>
      <w:r w:rsidR="00A45295">
        <w:rPr>
          <w:rFonts w:ascii="Arial" w:hAnsi="Arial" w:cs="Arial"/>
        </w:rPr>
        <w:t>e</w:t>
      </w:r>
      <w:r>
        <w:rPr>
          <w:rFonts w:ascii="Arial" w:hAnsi="Arial" w:cs="Arial"/>
        </w:rPr>
        <w:t>rksplänen</w:t>
      </w:r>
    </w:p>
    <w:p w14:paraId="5DC0074C" w14:textId="7BC424F8" w:rsidR="00984B2C" w:rsidRDefault="00984B2C" w:rsidP="00984B2C">
      <w:pPr>
        <w:pStyle w:val="Listenabsatz"/>
        <w:numPr>
          <w:ilvl w:val="0"/>
          <w:numId w:val="2"/>
        </w:numPr>
        <w:spacing w:after="0" w:line="240" w:lineRule="auto"/>
        <w:rPr>
          <w:rFonts w:ascii="Arial" w:hAnsi="Arial" w:cs="Arial"/>
        </w:rPr>
      </w:pPr>
      <w:r>
        <w:rPr>
          <w:rFonts w:ascii="Arial" w:hAnsi="Arial" w:cs="Arial"/>
        </w:rPr>
        <w:t>einer Bedarfsberechnung</w:t>
      </w:r>
    </w:p>
    <w:p w14:paraId="5DFA1F17" w14:textId="09583C22" w:rsidR="00984B2C" w:rsidRDefault="00984B2C" w:rsidP="00984B2C">
      <w:pPr>
        <w:pStyle w:val="Listenabsatz"/>
        <w:numPr>
          <w:ilvl w:val="0"/>
          <w:numId w:val="2"/>
        </w:numPr>
        <w:spacing w:after="0" w:line="240" w:lineRule="auto"/>
        <w:rPr>
          <w:rFonts w:ascii="Arial" w:hAnsi="Arial" w:cs="Arial"/>
        </w:rPr>
      </w:pPr>
      <w:r>
        <w:rPr>
          <w:rFonts w:ascii="Arial" w:hAnsi="Arial" w:cs="Arial"/>
        </w:rPr>
        <w:t>einer Bedarfsprognose</w:t>
      </w:r>
    </w:p>
    <w:p w14:paraId="39BE5BAF" w14:textId="2F9A1C4C" w:rsidR="00984B2C" w:rsidRDefault="00984B2C" w:rsidP="00984B2C">
      <w:pPr>
        <w:pStyle w:val="Listenabsatz"/>
        <w:numPr>
          <w:ilvl w:val="0"/>
          <w:numId w:val="2"/>
        </w:numPr>
        <w:spacing w:after="0" w:line="240" w:lineRule="auto"/>
        <w:rPr>
          <w:rFonts w:ascii="Arial" w:hAnsi="Arial" w:cs="Arial"/>
        </w:rPr>
      </w:pPr>
      <w:r>
        <w:rPr>
          <w:rFonts w:ascii="Arial" w:hAnsi="Arial" w:cs="Arial"/>
        </w:rPr>
        <w:t>einem Basisgutachten zu den Quellen,</w:t>
      </w:r>
    </w:p>
    <w:p w14:paraId="121726F5" w14:textId="26AF43E0" w:rsidR="00984B2C" w:rsidRDefault="00984B2C" w:rsidP="00984B2C">
      <w:pPr>
        <w:pStyle w:val="Listenabsatz"/>
        <w:numPr>
          <w:ilvl w:val="0"/>
          <w:numId w:val="2"/>
        </w:numPr>
        <w:spacing w:after="0" w:line="240" w:lineRule="auto"/>
        <w:rPr>
          <w:rFonts w:ascii="Arial" w:hAnsi="Arial" w:cs="Arial"/>
        </w:rPr>
      </w:pPr>
      <w:r>
        <w:rPr>
          <w:rFonts w:ascii="Arial" w:hAnsi="Arial" w:cs="Arial"/>
        </w:rPr>
        <w:t>sowie Unterlagen zur Durchführung der allgemeinen Vorprüfung nach dem UVPG</w:t>
      </w:r>
      <w:r w:rsidR="006C0548">
        <w:rPr>
          <w:rFonts w:ascii="Arial" w:hAnsi="Arial" w:cs="Arial"/>
        </w:rPr>
        <w:t>.</w:t>
      </w:r>
    </w:p>
    <w:p w14:paraId="1B3ABF74" w14:textId="6EABCA5C" w:rsidR="006C0548" w:rsidRPr="006C0548" w:rsidRDefault="006C0548" w:rsidP="006C0548">
      <w:pPr>
        <w:spacing w:after="0" w:line="240" w:lineRule="auto"/>
        <w:rPr>
          <w:rFonts w:ascii="Arial" w:hAnsi="Arial" w:cs="Arial"/>
        </w:rPr>
      </w:pPr>
      <w:r>
        <w:rPr>
          <w:rFonts w:ascii="Arial" w:hAnsi="Arial" w:cs="Arial"/>
        </w:rPr>
        <w:t xml:space="preserve">Die Unterlagen wurden vom Büro </w:t>
      </w:r>
      <w:proofErr w:type="spellStart"/>
      <w:proofErr w:type="gramStart"/>
      <w:r>
        <w:rPr>
          <w:rFonts w:ascii="Arial" w:hAnsi="Arial" w:cs="Arial"/>
        </w:rPr>
        <w:t>Piewak</w:t>
      </w:r>
      <w:proofErr w:type="spellEnd"/>
      <w:r>
        <w:rPr>
          <w:rFonts w:ascii="Arial" w:hAnsi="Arial" w:cs="Arial"/>
        </w:rPr>
        <w:t xml:space="preserve">  &amp;</w:t>
      </w:r>
      <w:proofErr w:type="gramEnd"/>
      <w:r>
        <w:rPr>
          <w:rFonts w:ascii="Arial" w:hAnsi="Arial" w:cs="Arial"/>
        </w:rPr>
        <w:t xml:space="preserve"> Partner erstellt.</w:t>
      </w:r>
    </w:p>
    <w:p w14:paraId="751F0AD2" w14:textId="77777777" w:rsidR="00984B2C" w:rsidRDefault="00984B2C" w:rsidP="00984B2C">
      <w:pPr>
        <w:spacing w:after="0" w:line="240" w:lineRule="auto"/>
        <w:rPr>
          <w:rFonts w:ascii="Arial" w:hAnsi="Arial" w:cs="Arial"/>
        </w:rPr>
      </w:pPr>
    </w:p>
    <w:p w14:paraId="3567ECB5" w14:textId="5B90C609" w:rsidR="00984B2C" w:rsidRDefault="00984B2C" w:rsidP="00984B2C">
      <w:pPr>
        <w:spacing w:after="0" w:line="240" w:lineRule="auto"/>
        <w:rPr>
          <w:rFonts w:ascii="Arial" w:hAnsi="Arial" w:cs="Arial"/>
        </w:rPr>
      </w:pPr>
      <w:r>
        <w:rPr>
          <w:rFonts w:ascii="Arial" w:hAnsi="Arial" w:cs="Arial"/>
        </w:rPr>
        <w:t xml:space="preserve">Zusätzlich wurde durch uns noch Einsicht genommen in das Fachprogramm </w:t>
      </w:r>
      <w:proofErr w:type="spellStart"/>
      <w:r>
        <w:rPr>
          <w:rFonts w:ascii="Arial" w:hAnsi="Arial" w:cs="Arial"/>
        </w:rPr>
        <w:t>FINView</w:t>
      </w:r>
      <w:proofErr w:type="spellEnd"/>
      <w:r>
        <w:rPr>
          <w:rFonts w:ascii="Arial" w:hAnsi="Arial" w:cs="Arial"/>
        </w:rPr>
        <w:t xml:space="preserve"> und den bayerischen Denkmalatlas und es wurde Rücksprache mit der unteren Denkmalbehörde wegen eines angrenzenden Bodendenkmals genommen.</w:t>
      </w:r>
    </w:p>
    <w:p w14:paraId="0C5738D4" w14:textId="77777777" w:rsidR="00984B2C" w:rsidRDefault="00984B2C" w:rsidP="00984B2C">
      <w:pPr>
        <w:spacing w:after="0" w:line="240" w:lineRule="auto"/>
        <w:rPr>
          <w:rFonts w:ascii="Arial" w:hAnsi="Arial" w:cs="Arial"/>
        </w:rPr>
      </w:pPr>
    </w:p>
    <w:p w14:paraId="72CD2DB7" w14:textId="42D76787" w:rsidR="00984B2C" w:rsidRDefault="00984B2C" w:rsidP="00984B2C">
      <w:pPr>
        <w:spacing w:after="0" w:line="240" w:lineRule="auto"/>
        <w:rPr>
          <w:rFonts w:ascii="Arial" w:hAnsi="Arial" w:cs="Arial"/>
        </w:rPr>
      </w:pPr>
      <w:r>
        <w:rPr>
          <w:rFonts w:ascii="Arial" w:hAnsi="Arial" w:cs="Arial"/>
        </w:rPr>
        <w:t>Folgendes lässt sich aufgrund der vorliegenden Informationen zu dem Vorhaben sagen:</w:t>
      </w:r>
    </w:p>
    <w:p w14:paraId="3BD70172" w14:textId="77777777" w:rsidR="00984B2C" w:rsidRDefault="00984B2C" w:rsidP="00984B2C">
      <w:pPr>
        <w:spacing w:after="0" w:line="240" w:lineRule="auto"/>
        <w:rPr>
          <w:rFonts w:ascii="Arial" w:hAnsi="Arial" w:cs="Arial"/>
        </w:rPr>
      </w:pPr>
    </w:p>
    <w:p w14:paraId="5AA7462F" w14:textId="59D17811" w:rsidR="00984B2C" w:rsidRDefault="00984B2C" w:rsidP="00984B2C">
      <w:pPr>
        <w:spacing w:after="0" w:line="240" w:lineRule="auto"/>
        <w:rPr>
          <w:rFonts w:ascii="Arial" w:hAnsi="Arial" w:cs="Arial"/>
        </w:rPr>
      </w:pPr>
      <w:r>
        <w:rPr>
          <w:rFonts w:ascii="Arial" w:hAnsi="Arial" w:cs="Arial"/>
        </w:rPr>
        <w:t xml:space="preserve">Die Quellen befinden sich östlich von </w:t>
      </w:r>
      <w:proofErr w:type="spellStart"/>
      <w:r>
        <w:rPr>
          <w:rFonts w:ascii="Arial" w:hAnsi="Arial" w:cs="Arial"/>
        </w:rPr>
        <w:t>Groppenheim</w:t>
      </w:r>
      <w:proofErr w:type="spellEnd"/>
      <w:r>
        <w:rPr>
          <w:rFonts w:ascii="Arial" w:hAnsi="Arial" w:cs="Arial"/>
        </w:rPr>
        <w:t>. Sie liegen alle drei in einem gemeinsamen Fassungsbereich. Zu deren Schutz ist ein Wasserschutzgebiet ausgewiesen.</w:t>
      </w:r>
    </w:p>
    <w:p w14:paraId="5ED22D44" w14:textId="762D2AE5" w:rsidR="00984B2C" w:rsidRDefault="00984B2C" w:rsidP="00984B2C">
      <w:pPr>
        <w:spacing w:after="0" w:line="240" w:lineRule="auto"/>
        <w:rPr>
          <w:rFonts w:ascii="Arial" w:hAnsi="Arial" w:cs="Arial"/>
        </w:rPr>
      </w:pPr>
      <w:r>
        <w:rPr>
          <w:rFonts w:ascii="Arial" w:hAnsi="Arial" w:cs="Arial"/>
        </w:rPr>
        <w:t xml:space="preserve">Die Anlage </w:t>
      </w:r>
      <w:r w:rsidR="00A45295">
        <w:rPr>
          <w:rFonts w:ascii="Arial" w:hAnsi="Arial" w:cs="Arial"/>
        </w:rPr>
        <w:t>wurde in den letzten Jahren saniert, so dass die Anlage den anerkannten Regeln der Technik entspricht und schützbar ist. Die Sanierungsarbeiten sind in den Antragsunterlagen beschrieben.</w:t>
      </w:r>
    </w:p>
    <w:p w14:paraId="771B2ED6" w14:textId="77777777" w:rsidR="00A45295" w:rsidRDefault="00A45295" w:rsidP="00984B2C">
      <w:pPr>
        <w:spacing w:after="0" w:line="240" w:lineRule="auto"/>
        <w:rPr>
          <w:rFonts w:ascii="Arial" w:hAnsi="Arial" w:cs="Arial"/>
        </w:rPr>
      </w:pPr>
    </w:p>
    <w:p w14:paraId="0E44700D" w14:textId="5D57099D" w:rsidR="00A45295" w:rsidRDefault="00A45295" w:rsidP="00984B2C">
      <w:pPr>
        <w:spacing w:after="0" w:line="240" w:lineRule="auto"/>
        <w:rPr>
          <w:rFonts w:ascii="Arial" w:hAnsi="Arial" w:cs="Arial"/>
        </w:rPr>
      </w:pPr>
      <w:r>
        <w:rPr>
          <w:rFonts w:ascii="Arial" w:hAnsi="Arial" w:cs="Arial"/>
        </w:rPr>
        <w:t>Die Flächen rund um die Quellfassung werden überwiegend landwirtschaftlich</w:t>
      </w:r>
      <w:r w:rsidR="009C7EB5">
        <w:rPr>
          <w:rFonts w:ascii="Arial" w:hAnsi="Arial" w:cs="Arial"/>
        </w:rPr>
        <w:t xml:space="preserve"> genutzt, ein kleiner Teil des Schutzgebiets wird forstwirtschaftlich genutzt. Durch das Schutzgebiet verläuft eine Kreisstraße, Ortsstraßen und Feldwege.</w:t>
      </w:r>
    </w:p>
    <w:p w14:paraId="21CDFAF6" w14:textId="77777777" w:rsidR="009C7EB5" w:rsidRDefault="009C7EB5" w:rsidP="00984B2C">
      <w:pPr>
        <w:spacing w:after="0" w:line="240" w:lineRule="auto"/>
        <w:rPr>
          <w:rFonts w:ascii="Arial" w:hAnsi="Arial" w:cs="Arial"/>
        </w:rPr>
      </w:pPr>
    </w:p>
    <w:p w14:paraId="7AB4404F" w14:textId="2232D72B" w:rsidR="009C7EB5" w:rsidRDefault="008B3B56" w:rsidP="00984B2C">
      <w:pPr>
        <w:spacing w:after="0" w:line="240" w:lineRule="auto"/>
        <w:rPr>
          <w:rFonts w:ascii="Arial" w:hAnsi="Arial" w:cs="Arial"/>
        </w:rPr>
      </w:pPr>
      <w:r>
        <w:rPr>
          <w:rFonts w:ascii="Arial" w:hAnsi="Arial" w:cs="Arial"/>
        </w:rPr>
        <w:t>Mit der</w:t>
      </w:r>
      <w:r w:rsidR="009C7EB5">
        <w:rPr>
          <w:rFonts w:ascii="Arial" w:hAnsi="Arial" w:cs="Arial"/>
        </w:rPr>
        <w:t xml:space="preserve"> Neuerteilung der wasserrechtlichen Erlaubnis </w:t>
      </w:r>
      <w:r>
        <w:rPr>
          <w:rFonts w:ascii="Arial" w:hAnsi="Arial" w:cs="Arial"/>
        </w:rPr>
        <w:t xml:space="preserve">und der beantragten Entnahme des Grundwassers sind keine Arbeiten verbunden. Die Anlagen sind seit den 1950ern in Betrieb. </w:t>
      </w:r>
      <w:r>
        <w:rPr>
          <w:rFonts w:ascii="Arial" w:hAnsi="Arial" w:cs="Arial"/>
        </w:rPr>
        <w:lastRenderedPageBreak/>
        <w:t xml:space="preserve">Es fallen daher keine Abfälle an, Umweltverschmutzungen und Belästigungen sind nicht zu erwarten. Ein erhöhtes Unfallrisiko wird nicht gesehen. </w:t>
      </w:r>
    </w:p>
    <w:p w14:paraId="14F7C772" w14:textId="77777777" w:rsidR="008B3B56" w:rsidRDefault="008B3B56" w:rsidP="00984B2C">
      <w:pPr>
        <w:spacing w:after="0" w:line="240" w:lineRule="auto"/>
        <w:rPr>
          <w:rFonts w:ascii="Arial" w:hAnsi="Arial" w:cs="Arial"/>
        </w:rPr>
      </w:pPr>
    </w:p>
    <w:p w14:paraId="3F9C92B0" w14:textId="695872AF" w:rsidR="008B3B56" w:rsidRDefault="008B3B56" w:rsidP="00984B2C">
      <w:pPr>
        <w:spacing w:after="0" w:line="240" w:lineRule="auto"/>
        <w:rPr>
          <w:rFonts w:ascii="Arial" w:hAnsi="Arial" w:cs="Arial"/>
        </w:rPr>
      </w:pPr>
      <w:r>
        <w:rPr>
          <w:rFonts w:ascii="Arial" w:hAnsi="Arial" w:cs="Arial"/>
        </w:rPr>
        <w:t xml:space="preserve">Der Energieverbrauch beschränkt sich auf den Bedarf für die Pumpen und die Aufbereitung. </w:t>
      </w:r>
    </w:p>
    <w:p w14:paraId="56997338" w14:textId="77777777" w:rsidR="008B3B56" w:rsidRDefault="008B3B56" w:rsidP="00984B2C">
      <w:pPr>
        <w:spacing w:after="0" w:line="240" w:lineRule="auto"/>
        <w:rPr>
          <w:rFonts w:ascii="Arial" w:hAnsi="Arial" w:cs="Arial"/>
        </w:rPr>
      </w:pPr>
    </w:p>
    <w:p w14:paraId="3280A9C0" w14:textId="02A0582E" w:rsidR="008B3B56" w:rsidRDefault="008B3B56" w:rsidP="00984B2C">
      <w:pPr>
        <w:spacing w:after="0" w:line="240" w:lineRule="auto"/>
        <w:rPr>
          <w:rFonts w:ascii="Arial" w:hAnsi="Arial" w:cs="Arial"/>
        </w:rPr>
      </w:pPr>
      <w:r>
        <w:rPr>
          <w:rFonts w:ascii="Arial" w:hAnsi="Arial" w:cs="Arial"/>
        </w:rPr>
        <w:t>Die Nutzung des Grundwassers erfolgt so, dass es zu keiner Übernutzung kommt. Überwasser verbleibt im Gebiet. Eine sparsame und schonende Nutzung des Grundwasservorkommens liegt im Interesse des Wasserversorgers.</w:t>
      </w:r>
    </w:p>
    <w:p w14:paraId="701E4FF3" w14:textId="77777777" w:rsidR="008B3B56" w:rsidRDefault="008B3B56" w:rsidP="00984B2C">
      <w:pPr>
        <w:spacing w:after="0" w:line="240" w:lineRule="auto"/>
        <w:rPr>
          <w:rFonts w:ascii="Arial" w:hAnsi="Arial" w:cs="Arial"/>
        </w:rPr>
      </w:pPr>
    </w:p>
    <w:p w14:paraId="284D27B2" w14:textId="2B7DB868" w:rsidR="008B3B56" w:rsidRDefault="008B3B56" w:rsidP="00984B2C">
      <w:pPr>
        <w:spacing w:after="0" w:line="240" w:lineRule="auto"/>
        <w:rPr>
          <w:rFonts w:ascii="Arial" w:hAnsi="Arial" w:cs="Arial"/>
        </w:rPr>
      </w:pPr>
      <w:r>
        <w:rPr>
          <w:rFonts w:ascii="Arial" w:hAnsi="Arial" w:cs="Arial"/>
        </w:rPr>
        <w:t>Die Unterlagen zur Durchführung der allgemeinen Vorprüfung, die Bestandteil der Antragsunterlagen sind, enthalten weitere umfassende Aussagen zu dem Vorhaben und dessen Auswirkungen. Diese werden deshalb hier nicht mehr wiedergegeben, sondern es wird auf diese verwiesen.</w:t>
      </w:r>
    </w:p>
    <w:p w14:paraId="6C04AA7B" w14:textId="77777777" w:rsidR="008B3B56" w:rsidRDefault="008B3B56" w:rsidP="00984B2C">
      <w:pPr>
        <w:spacing w:after="0" w:line="240" w:lineRule="auto"/>
        <w:rPr>
          <w:rFonts w:ascii="Arial" w:hAnsi="Arial" w:cs="Arial"/>
        </w:rPr>
      </w:pPr>
    </w:p>
    <w:p w14:paraId="375E431C" w14:textId="4D145D64" w:rsidR="008B3B56" w:rsidRDefault="008B3B56" w:rsidP="00984B2C">
      <w:pPr>
        <w:spacing w:after="0" w:line="240" w:lineRule="auto"/>
        <w:rPr>
          <w:rFonts w:ascii="Arial" w:hAnsi="Arial" w:cs="Arial"/>
        </w:rPr>
      </w:pPr>
      <w:r>
        <w:rPr>
          <w:rFonts w:ascii="Arial" w:hAnsi="Arial" w:cs="Arial"/>
        </w:rPr>
        <w:t>Zu den in Anlage 3 Nr. 2.3 zum UVPG aufgeführten Schutzkriterien lässt sich folgendes festhalten:</w:t>
      </w:r>
    </w:p>
    <w:p w14:paraId="121DE03D" w14:textId="77777777" w:rsidR="00CA6931" w:rsidRDefault="00CA6931" w:rsidP="00CA6931">
      <w:pPr>
        <w:spacing w:after="0" w:line="240" w:lineRule="auto"/>
        <w:rPr>
          <w:rFonts w:ascii="Arial" w:hAnsi="Arial" w:cs="Arial"/>
        </w:rPr>
      </w:pPr>
    </w:p>
    <w:tbl>
      <w:tblPr>
        <w:tblStyle w:val="Tabellenraster"/>
        <w:tblW w:w="0" w:type="auto"/>
        <w:tblLook w:val="04A0" w:firstRow="1" w:lastRow="0" w:firstColumn="1" w:lastColumn="0" w:noHBand="0" w:noVBand="1"/>
      </w:tblPr>
      <w:tblGrid>
        <w:gridCol w:w="4531"/>
        <w:gridCol w:w="4531"/>
      </w:tblGrid>
      <w:tr w:rsidR="00CA6931" w14:paraId="78068292" w14:textId="77777777" w:rsidTr="00BC1F7E">
        <w:tc>
          <w:tcPr>
            <w:tcW w:w="4531" w:type="dxa"/>
          </w:tcPr>
          <w:p w14:paraId="1F303517" w14:textId="77777777" w:rsidR="00CA6931" w:rsidRDefault="00CA6931" w:rsidP="00BC1F7E">
            <w:pPr>
              <w:rPr>
                <w:rFonts w:ascii="Arial" w:hAnsi="Arial" w:cs="Arial"/>
              </w:rPr>
            </w:pPr>
            <w:r>
              <w:rPr>
                <w:rFonts w:ascii="Arial" w:hAnsi="Arial" w:cs="Arial"/>
              </w:rPr>
              <w:t>FFH-Gebiete und Vogelschutzgebiete</w:t>
            </w:r>
          </w:p>
        </w:tc>
        <w:tc>
          <w:tcPr>
            <w:tcW w:w="4531" w:type="dxa"/>
          </w:tcPr>
          <w:p w14:paraId="17717E49" w14:textId="3372F67D" w:rsidR="00CA6931" w:rsidRDefault="00CA6931" w:rsidP="00BC1F7E">
            <w:pPr>
              <w:rPr>
                <w:rFonts w:ascii="Arial" w:hAnsi="Arial" w:cs="Arial"/>
              </w:rPr>
            </w:pPr>
            <w:r>
              <w:rPr>
                <w:rFonts w:ascii="Arial" w:hAnsi="Arial" w:cs="Arial"/>
              </w:rPr>
              <w:t xml:space="preserve">Sind in dem Bereich </w:t>
            </w:r>
            <w:r>
              <w:rPr>
                <w:rFonts w:ascii="Arial" w:hAnsi="Arial" w:cs="Arial"/>
              </w:rPr>
              <w:t>der Quellfassung und des Wasserschutzgebiets</w:t>
            </w:r>
            <w:r>
              <w:rPr>
                <w:rFonts w:ascii="Arial" w:hAnsi="Arial" w:cs="Arial"/>
              </w:rPr>
              <w:t xml:space="preserve"> nicht vorhanden.</w:t>
            </w:r>
          </w:p>
        </w:tc>
      </w:tr>
      <w:tr w:rsidR="00CA6931" w14:paraId="3C1607D4" w14:textId="77777777" w:rsidTr="00BC1F7E">
        <w:tc>
          <w:tcPr>
            <w:tcW w:w="4531" w:type="dxa"/>
          </w:tcPr>
          <w:p w14:paraId="2CCC02E4" w14:textId="77777777" w:rsidR="00CA6931" w:rsidRDefault="00CA6931" w:rsidP="00BC1F7E">
            <w:pPr>
              <w:rPr>
                <w:rFonts w:ascii="Arial" w:hAnsi="Arial" w:cs="Arial"/>
              </w:rPr>
            </w:pPr>
            <w:r>
              <w:rPr>
                <w:rFonts w:ascii="Arial" w:hAnsi="Arial" w:cs="Arial"/>
              </w:rPr>
              <w:t>Naturschutzgebiete</w:t>
            </w:r>
          </w:p>
        </w:tc>
        <w:tc>
          <w:tcPr>
            <w:tcW w:w="4531" w:type="dxa"/>
          </w:tcPr>
          <w:p w14:paraId="2997B561" w14:textId="77777777" w:rsidR="00CA6931" w:rsidRDefault="00CA6931" w:rsidP="00BC1F7E">
            <w:pPr>
              <w:rPr>
                <w:rFonts w:ascii="Arial" w:hAnsi="Arial" w:cs="Arial"/>
              </w:rPr>
            </w:pPr>
            <w:r>
              <w:rPr>
                <w:rFonts w:ascii="Arial" w:hAnsi="Arial" w:cs="Arial"/>
              </w:rPr>
              <w:t>Sind in dem Gebiet nicht vorhanden</w:t>
            </w:r>
          </w:p>
        </w:tc>
      </w:tr>
      <w:tr w:rsidR="00CA6931" w14:paraId="1FE5738D" w14:textId="77777777" w:rsidTr="00BC1F7E">
        <w:tc>
          <w:tcPr>
            <w:tcW w:w="4531" w:type="dxa"/>
          </w:tcPr>
          <w:p w14:paraId="343735B2" w14:textId="77777777" w:rsidR="00CA6931" w:rsidRDefault="00CA6931" w:rsidP="00BC1F7E">
            <w:pPr>
              <w:rPr>
                <w:rFonts w:ascii="Arial" w:hAnsi="Arial" w:cs="Arial"/>
              </w:rPr>
            </w:pPr>
            <w:r>
              <w:rPr>
                <w:rFonts w:ascii="Arial" w:hAnsi="Arial" w:cs="Arial"/>
              </w:rPr>
              <w:t>Nationalparke, Biosphärenreservate</w:t>
            </w:r>
          </w:p>
        </w:tc>
        <w:tc>
          <w:tcPr>
            <w:tcW w:w="4531" w:type="dxa"/>
          </w:tcPr>
          <w:p w14:paraId="4513B3CC" w14:textId="77777777" w:rsidR="00CA6931" w:rsidRDefault="00CA6931" w:rsidP="00BC1F7E">
            <w:pPr>
              <w:rPr>
                <w:rFonts w:ascii="Arial" w:hAnsi="Arial" w:cs="Arial"/>
              </w:rPr>
            </w:pPr>
            <w:r>
              <w:rPr>
                <w:rFonts w:ascii="Arial" w:hAnsi="Arial" w:cs="Arial"/>
              </w:rPr>
              <w:t>Gibt es in unserem Landkreis nicht</w:t>
            </w:r>
          </w:p>
        </w:tc>
      </w:tr>
      <w:tr w:rsidR="00CA6931" w14:paraId="50CDA709" w14:textId="77777777" w:rsidTr="00BC1F7E">
        <w:tc>
          <w:tcPr>
            <w:tcW w:w="4531" w:type="dxa"/>
          </w:tcPr>
          <w:p w14:paraId="408EA4EA" w14:textId="77777777" w:rsidR="00CA6931" w:rsidRDefault="00CA6931" w:rsidP="00BC1F7E">
            <w:pPr>
              <w:rPr>
                <w:rFonts w:ascii="Arial" w:hAnsi="Arial" w:cs="Arial"/>
              </w:rPr>
            </w:pPr>
            <w:r>
              <w:rPr>
                <w:rFonts w:ascii="Arial" w:hAnsi="Arial" w:cs="Arial"/>
              </w:rPr>
              <w:t>Landschaftsschutzgebiete</w:t>
            </w:r>
          </w:p>
          <w:p w14:paraId="3B5983CB" w14:textId="77777777" w:rsidR="00CA6931" w:rsidRDefault="00CA6931" w:rsidP="00BC1F7E">
            <w:pPr>
              <w:rPr>
                <w:rFonts w:ascii="Arial" w:hAnsi="Arial" w:cs="Arial"/>
              </w:rPr>
            </w:pPr>
            <w:r>
              <w:rPr>
                <w:rFonts w:ascii="Arial" w:hAnsi="Arial" w:cs="Arial"/>
              </w:rPr>
              <w:t>Naturparke</w:t>
            </w:r>
          </w:p>
        </w:tc>
        <w:tc>
          <w:tcPr>
            <w:tcW w:w="4531" w:type="dxa"/>
          </w:tcPr>
          <w:p w14:paraId="7421D3F7" w14:textId="6C15A469" w:rsidR="00CA6931" w:rsidRDefault="00CA6931" w:rsidP="00BC1F7E">
            <w:pPr>
              <w:rPr>
                <w:rFonts w:ascii="Arial" w:hAnsi="Arial" w:cs="Arial"/>
              </w:rPr>
            </w:pPr>
            <w:r>
              <w:rPr>
                <w:rFonts w:ascii="Arial" w:hAnsi="Arial" w:cs="Arial"/>
              </w:rPr>
              <w:t xml:space="preserve">Sind in dem Bereich rund um die </w:t>
            </w:r>
            <w:r>
              <w:rPr>
                <w:rFonts w:ascii="Arial" w:hAnsi="Arial" w:cs="Arial"/>
              </w:rPr>
              <w:t>Quellfassung</w:t>
            </w:r>
            <w:r>
              <w:rPr>
                <w:rFonts w:ascii="Arial" w:hAnsi="Arial" w:cs="Arial"/>
              </w:rPr>
              <w:t xml:space="preserve"> nicht vorhanden</w:t>
            </w:r>
          </w:p>
        </w:tc>
      </w:tr>
      <w:tr w:rsidR="00CA6931" w14:paraId="717F69C3" w14:textId="77777777" w:rsidTr="00BC1F7E">
        <w:tc>
          <w:tcPr>
            <w:tcW w:w="4531" w:type="dxa"/>
          </w:tcPr>
          <w:p w14:paraId="7C8DEB4B" w14:textId="77777777" w:rsidR="00CA6931" w:rsidRDefault="00CA6931" w:rsidP="00BC1F7E">
            <w:pPr>
              <w:rPr>
                <w:rFonts w:ascii="Arial" w:hAnsi="Arial" w:cs="Arial"/>
              </w:rPr>
            </w:pPr>
            <w:r>
              <w:rPr>
                <w:rFonts w:ascii="Arial" w:hAnsi="Arial" w:cs="Arial"/>
              </w:rPr>
              <w:t>Naturdenkmäler oder geschützte Landschaftsbestandteile</w:t>
            </w:r>
          </w:p>
        </w:tc>
        <w:tc>
          <w:tcPr>
            <w:tcW w:w="4531" w:type="dxa"/>
          </w:tcPr>
          <w:p w14:paraId="6B889314" w14:textId="4DEF83EC" w:rsidR="00CA6931" w:rsidRDefault="00CA6931" w:rsidP="00BC1F7E">
            <w:pPr>
              <w:rPr>
                <w:rFonts w:ascii="Arial" w:hAnsi="Arial" w:cs="Arial"/>
              </w:rPr>
            </w:pPr>
            <w:r>
              <w:rPr>
                <w:rFonts w:ascii="Arial" w:hAnsi="Arial" w:cs="Arial"/>
              </w:rPr>
              <w:t xml:space="preserve">Sind in unmittelbarer Nähe zu den </w:t>
            </w:r>
            <w:r>
              <w:rPr>
                <w:rFonts w:ascii="Arial" w:hAnsi="Arial" w:cs="Arial"/>
              </w:rPr>
              <w:t xml:space="preserve">Quellen und auch im Wasserschutzgebiet </w:t>
            </w:r>
            <w:r>
              <w:rPr>
                <w:rFonts w:ascii="Arial" w:hAnsi="Arial" w:cs="Arial"/>
              </w:rPr>
              <w:t xml:space="preserve">nicht vorhanden. </w:t>
            </w:r>
          </w:p>
        </w:tc>
      </w:tr>
      <w:tr w:rsidR="00CA6931" w14:paraId="2A070EA1" w14:textId="77777777" w:rsidTr="00BC1F7E">
        <w:tc>
          <w:tcPr>
            <w:tcW w:w="4531" w:type="dxa"/>
          </w:tcPr>
          <w:p w14:paraId="400955A7" w14:textId="77777777" w:rsidR="00CA6931" w:rsidRDefault="00CA6931" w:rsidP="00BC1F7E">
            <w:pPr>
              <w:rPr>
                <w:rFonts w:ascii="Arial" w:hAnsi="Arial" w:cs="Arial"/>
              </w:rPr>
            </w:pPr>
            <w:r>
              <w:rPr>
                <w:rFonts w:ascii="Arial" w:hAnsi="Arial" w:cs="Arial"/>
              </w:rPr>
              <w:t>Gesetzlich geschützte Biotope</w:t>
            </w:r>
          </w:p>
        </w:tc>
        <w:tc>
          <w:tcPr>
            <w:tcW w:w="4531" w:type="dxa"/>
          </w:tcPr>
          <w:p w14:paraId="4127AC3A" w14:textId="5798113E" w:rsidR="00CA6931" w:rsidRDefault="00CA6931" w:rsidP="00BC1F7E">
            <w:pPr>
              <w:rPr>
                <w:rFonts w:ascii="Arial" w:hAnsi="Arial" w:cs="Arial"/>
              </w:rPr>
            </w:pPr>
            <w:r>
              <w:rPr>
                <w:rFonts w:ascii="Arial" w:hAnsi="Arial" w:cs="Arial"/>
              </w:rPr>
              <w:t>Sind im Bereich der Quellfassung und des Wasserschutzgebiets nicht vorhanden. Das nächstgelegene Biotop befindet sich außerhalb des Einzugsgebiets, so dass die Quellnutzung keinen Einfluss auf diese Biotope haben sollte.</w:t>
            </w:r>
            <w:r w:rsidR="006C0548">
              <w:rPr>
                <w:rFonts w:ascii="Arial" w:hAnsi="Arial" w:cs="Arial"/>
              </w:rPr>
              <w:t xml:space="preserve"> Auch </w:t>
            </w:r>
            <w:proofErr w:type="gramStart"/>
            <w:r w:rsidR="006C0548">
              <w:rPr>
                <w:rFonts w:ascii="Arial" w:hAnsi="Arial" w:cs="Arial"/>
              </w:rPr>
              <w:t>ist  festzuhalten</w:t>
            </w:r>
            <w:proofErr w:type="gramEnd"/>
            <w:r w:rsidR="006C0548">
              <w:rPr>
                <w:rFonts w:ascii="Arial" w:hAnsi="Arial" w:cs="Arial"/>
              </w:rPr>
              <w:t>, dass diese Biotope in den Jahren 2013 bis 2015 überprüft wurden und sich aus den Biotopbeschreibungen keine Hinweise entnehmen lassen, dass diese Biotope durch die Grundwasserentnahme beeinträchtigt werden.</w:t>
            </w:r>
          </w:p>
        </w:tc>
      </w:tr>
      <w:tr w:rsidR="00CA6931" w14:paraId="1775AB0A" w14:textId="77777777" w:rsidTr="00BC1F7E">
        <w:tc>
          <w:tcPr>
            <w:tcW w:w="4531" w:type="dxa"/>
          </w:tcPr>
          <w:p w14:paraId="6BC8FCFE" w14:textId="77777777" w:rsidR="00CA6931" w:rsidRDefault="00CA6931" w:rsidP="00BC1F7E">
            <w:pPr>
              <w:rPr>
                <w:rFonts w:ascii="Arial" w:hAnsi="Arial" w:cs="Arial"/>
              </w:rPr>
            </w:pPr>
            <w:r>
              <w:rPr>
                <w:rFonts w:ascii="Arial" w:hAnsi="Arial" w:cs="Arial"/>
              </w:rPr>
              <w:t>Wasserschutzgebiete</w:t>
            </w:r>
          </w:p>
        </w:tc>
        <w:tc>
          <w:tcPr>
            <w:tcW w:w="4531" w:type="dxa"/>
          </w:tcPr>
          <w:p w14:paraId="189E998E" w14:textId="524B7489" w:rsidR="00CA6931" w:rsidRDefault="00CA6931" w:rsidP="00BC1F7E">
            <w:pPr>
              <w:rPr>
                <w:rFonts w:ascii="Arial" w:hAnsi="Arial" w:cs="Arial"/>
              </w:rPr>
            </w:pPr>
            <w:r>
              <w:rPr>
                <w:rFonts w:ascii="Arial" w:hAnsi="Arial" w:cs="Arial"/>
              </w:rPr>
              <w:t>Die Quellen befinden sich innerhalb des Wasserschutzgebiets, dass deren Schutz dient</w:t>
            </w:r>
            <w:r>
              <w:rPr>
                <w:rFonts w:ascii="Arial" w:hAnsi="Arial" w:cs="Arial"/>
              </w:rPr>
              <w:t>. Beeinträchtigungen durch die vorgesehene Nutzung sind nicht zu erwarten.</w:t>
            </w:r>
          </w:p>
        </w:tc>
      </w:tr>
      <w:tr w:rsidR="00CA6931" w14:paraId="448654E9" w14:textId="77777777" w:rsidTr="00BC1F7E">
        <w:tc>
          <w:tcPr>
            <w:tcW w:w="4531" w:type="dxa"/>
          </w:tcPr>
          <w:p w14:paraId="182F58EE" w14:textId="77777777" w:rsidR="00CA6931" w:rsidRDefault="00CA6931" w:rsidP="00BC1F7E">
            <w:pPr>
              <w:rPr>
                <w:rFonts w:ascii="Arial" w:hAnsi="Arial" w:cs="Arial"/>
              </w:rPr>
            </w:pPr>
            <w:r>
              <w:rPr>
                <w:rFonts w:ascii="Arial" w:hAnsi="Arial" w:cs="Arial"/>
              </w:rPr>
              <w:t xml:space="preserve">Risikogebiete nach § 73 Abs. 1 WHG und Überschwemmungsgebiet nach § 76 WHG </w:t>
            </w:r>
          </w:p>
        </w:tc>
        <w:tc>
          <w:tcPr>
            <w:tcW w:w="4531" w:type="dxa"/>
          </w:tcPr>
          <w:p w14:paraId="6B736213" w14:textId="59EA451B" w:rsidR="00CA6931" w:rsidRDefault="00CA6931" w:rsidP="00BC1F7E">
            <w:pPr>
              <w:rPr>
                <w:rFonts w:ascii="Arial" w:hAnsi="Arial" w:cs="Arial"/>
              </w:rPr>
            </w:pPr>
            <w:r>
              <w:rPr>
                <w:rFonts w:ascii="Arial" w:hAnsi="Arial" w:cs="Arial"/>
              </w:rPr>
              <w:t>Sind dort nicht vorhanden. Die südöstlichste Ecke des Wasserschutzgebi</w:t>
            </w:r>
            <w:r w:rsidR="006C0548">
              <w:rPr>
                <w:rFonts w:ascii="Arial" w:hAnsi="Arial" w:cs="Arial"/>
              </w:rPr>
              <w:t>e</w:t>
            </w:r>
            <w:r>
              <w:rPr>
                <w:rFonts w:ascii="Arial" w:hAnsi="Arial" w:cs="Arial"/>
              </w:rPr>
              <w:t>ts überlappt sich mit dem durch den Glasmühlbach initiierten wassersensiblen Bereich. Eine negative Beeinflussung du</w:t>
            </w:r>
            <w:r w:rsidR="006C0548">
              <w:rPr>
                <w:rFonts w:ascii="Arial" w:hAnsi="Arial" w:cs="Arial"/>
              </w:rPr>
              <w:t>r</w:t>
            </w:r>
            <w:r>
              <w:rPr>
                <w:rFonts w:ascii="Arial" w:hAnsi="Arial" w:cs="Arial"/>
              </w:rPr>
              <w:t>ch die Grundwasserentnahme ist nach aktuellem Stand nicht zu erwarten, zumal diese Entnahme ja nun schon seit den 1950ern stattfindet.</w:t>
            </w:r>
          </w:p>
        </w:tc>
      </w:tr>
      <w:tr w:rsidR="00CA6931" w14:paraId="28D95190" w14:textId="77777777" w:rsidTr="00BC1F7E">
        <w:tc>
          <w:tcPr>
            <w:tcW w:w="4531" w:type="dxa"/>
          </w:tcPr>
          <w:p w14:paraId="70743899" w14:textId="77777777" w:rsidR="00CA6931" w:rsidRDefault="00CA6931" w:rsidP="00BC1F7E">
            <w:pPr>
              <w:rPr>
                <w:rFonts w:ascii="Arial" w:hAnsi="Arial" w:cs="Arial"/>
              </w:rPr>
            </w:pPr>
            <w:r>
              <w:rPr>
                <w:rFonts w:ascii="Arial" w:hAnsi="Arial" w:cs="Arial"/>
              </w:rPr>
              <w:t>Denkmäler, Denkmalensembles, Bodendenkmäler oder archäologisch bedeutende Landschaften</w:t>
            </w:r>
          </w:p>
        </w:tc>
        <w:tc>
          <w:tcPr>
            <w:tcW w:w="4531" w:type="dxa"/>
          </w:tcPr>
          <w:p w14:paraId="35AC2A23" w14:textId="44784EF1" w:rsidR="00CA6931" w:rsidRDefault="00CA6931" w:rsidP="00BC1F7E">
            <w:pPr>
              <w:rPr>
                <w:rFonts w:ascii="Arial" w:hAnsi="Arial" w:cs="Arial"/>
              </w:rPr>
            </w:pPr>
            <w:r>
              <w:rPr>
                <w:rFonts w:ascii="Arial" w:hAnsi="Arial" w:cs="Arial"/>
              </w:rPr>
              <w:t xml:space="preserve">Entlang der Ostgrenze des Wasserschutzgebiets zieht sich ein mittelalterlicher Grenzwall. Da mit der Grundwassernutzung keinerlei </w:t>
            </w:r>
            <w:r>
              <w:rPr>
                <w:rFonts w:ascii="Arial" w:hAnsi="Arial" w:cs="Arial"/>
              </w:rPr>
              <w:lastRenderedPageBreak/>
              <w:t>Erdbewegungen in diesem Bereich verbunden sind, sind auch nach Rücksprache mit der unteren Denkmalschutzbehörde, keine Auswirkungen zu erwarten.</w:t>
            </w:r>
          </w:p>
        </w:tc>
      </w:tr>
    </w:tbl>
    <w:p w14:paraId="341ADAC7" w14:textId="77777777" w:rsidR="00CA6931" w:rsidRDefault="00CA6931" w:rsidP="00CA6931">
      <w:pPr>
        <w:spacing w:after="0" w:line="240" w:lineRule="auto"/>
        <w:rPr>
          <w:rFonts w:ascii="Arial" w:hAnsi="Arial" w:cs="Arial"/>
        </w:rPr>
      </w:pPr>
    </w:p>
    <w:p w14:paraId="3172F38F" w14:textId="3A24E933" w:rsidR="008B3B56" w:rsidRDefault="00CA6931" w:rsidP="00984B2C">
      <w:pPr>
        <w:spacing w:after="0" w:line="240" w:lineRule="auto"/>
        <w:rPr>
          <w:rFonts w:ascii="Arial" w:hAnsi="Arial" w:cs="Arial"/>
        </w:rPr>
      </w:pPr>
      <w:r>
        <w:rPr>
          <w:rFonts w:ascii="Arial" w:hAnsi="Arial" w:cs="Arial"/>
        </w:rPr>
        <w:t>In dem Beitrag zum UVPG sind die Schutzkriterien noch ausführlicher beschrieben und auch die möglichen Auswirkungen</w:t>
      </w:r>
      <w:r w:rsidR="006C0548">
        <w:rPr>
          <w:rFonts w:ascii="Arial" w:hAnsi="Arial" w:cs="Arial"/>
        </w:rPr>
        <w:t>. Auch der vom Antragssteller beauftragte Gutachter kommt zu dem Ergebnis, dass durch die Grundwassernutzung keine erheblichen nachteiligen Auswirkungen zu erwarten sind. Dessen Aussagen sind schlüssig und nachvollziehbar.</w:t>
      </w:r>
    </w:p>
    <w:p w14:paraId="078952D2" w14:textId="77777777" w:rsidR="008B3B56" w:rsidRDefault="008B3B56" w:rsidP="00984B2C">
      <w:pPr>
        <w:spacing w:after="0" w:line="240" w:lineRule="auto"/>
        <w:rPr>
          <w:rFonts w:ascii="Arial" w:hAnsi="Arial" w:cs="Arial"/>
        </w:rPr>
      </w:pPr>
    </w:p>
    <w:p w14:paraId="05C5EB9E" w14:textId="3BA0F98D" w:rsidR="008B3B56" w:rsidRDefault="006C0548" w:rsidP="00984B2C">
      <w:pPr>
        <w:spacing w:after="0" w:line="240" w:lineRule="auto"/>
        <w:rPr>
          <w:rFonts w:ascii="Arial" w:hAnsi="Arial" w:cs="Arial"/>
        </w:rPr>
      </w:pPr>
      <w:r>
        <w:rPr>
          <w:rFonts w:ascii="Arial" w:hAnsi="Arial" w:cs="Arial"/>
        </w:rPr>
        <w:t xml:space="preserve">Nach Durchsicht der vorliegenden Unterlagen und Rücksprachen mit den Fachstellen, sind auch nach </w:t>
      </w:r>
      <w:r w:rsidR="008B3B56">
        <w:rPr>
          <w:rFonts w:ascii="Arial" w:hAnsi="Arial" w:cs="Arial"/>
        </w:rPr>
        <w:t>unseren Erkenntnissen keine erheblichen nachteiligen Umweltauswirkungen durch die Fortführung der Grundwasserentnahmen für die öffentliche Trinkwasserversorgung zu erwarten.</w:t>
      </w:r>
    </w:p>
    <w:p w14:paraId="1338308E" w14:textId="77777777" w:rsidR="008B3B56" w:rsidRDefault="008B3B56" w:rsidP="008B3B56">
      <w:pPr>
        <w:spacing w:after="0"/>
        <w:rPr>
          <w:rFonts w:ascii="Arial" w:hAnsi="Arial" w:cs="Arial"/>
        </w:rPr>
      </w:pPr>
    </w:p>
    <w:p w14:paraId="6DAB66B7" w14:textId="77777777" w:rsidR="008B3B56" w:rsidRDefault="008B3B56" w:rsidP="008B3B56">
      <w:pPr>
        <w:spacing w:after="0"/>
        <w:rPr>
          <w:rFonts w:ascii="Arial" w:hAnsi="Arial" w:cs="Arial"/>
        </w:rPr>
      </w:pPr>
      <w:r>
        <w:rPr>
          <w:rFonts w:ascii="Arial" w:hAnsi="Arial" w:cs="Arial"/>
        </w:rPr>
        <w:t>Aus diesem Grund wird auf die Erstellung einer Umweltverträglichkeitsprüfung verzichtet.</w:t>
      </w:r>
    </w:p>
    <w:p w14:paraId="63905DFC" w14:textId="77777777" w:rsidR="008B3B56" w:rsidRDefault="008B3B56" w:rsidP="008B3B56">
      <w:pPr>
        <w:spacing w:after="0"/>
        <w:rPr>
          <w:rFonts w:ascii="Arial" w:hAnsi="Arial" w:cs="Arial"/>
        </w:rPr>
      </w:pPr>
    </w:p>
    <w:p w14:paraId="34726EC7" w14:textId="77777777" w:rsidR="008B3B56" w:rsidRDefault="008B3B56" w:rsidP="008B3B56">
      <w:pPr>
        <w:spacing w:after="0"/>
        <w:rPr>
          <w:rFonts w:ascii="Arial" w:hAnsi="Arial" w:cs="Arial"/>
        </w:rPr>
      </w:pPr>
    </w:p>
    <w:p w14:paraId="2510A727" w14:textId="77777777" w:rsidR="008B3B56" w:rsidRDefault="008B3B56" w:rsidP="008B3B56">
      <w:pPr>
        <w:spacing w:after="0"/>
        <w:rPr>
          <w:rFonts w:ascii="Arial" w:hAnsi="Arial" w:cs="Arial"/>
        </w:rPr>
      </w:pPr>
    </w:p>
    <w:p w14:paraId="0AE95B5D" w14:textId="5261C0B4" w:rsidR="008B3B56" w:rsidRDefault="008B3B56" w:rsidP="006C0548">
      <w:pPr>
        <w:spacing w:after="0"/>
        <w:ind w:left="-567"/>
        <w:rPr>
          <w:rFonts w:ascii="Arial" w:hAnsi="Arial" w:cs="Arial"/>
        </w:rPr>
      </w:pPr>
      <w:r>
        <w:rPr>
          <w:rFonts w:ascii="Arial" w:hAnsi="Arial" w:cs="Arial"/>
        </w:rPr>
        <w:t xml:space="preserve">II. </w:t>
      </w:r>
      <w:r w:rsidR="006C0548">
        <w:rPr>
          <w:rFonts w:ascii="Arial" w:hAnsi="Arial" w:cs="Arial"/>
        </w:rPr>
        <w:tab/>
      </w:r>
      <w:r>
        <w:rPr>
          <w:rFonts w:ascii="Arial" w:hAnsi="Arial" w:cs="Arial"/>
        </w:rPr>
        <w:t>Ergebnis in der Datenbank erfassen</w:t>
      </w:r>
    </w:p>
    <w:p w14:paraId="3562AA3F" w14:textId="77777777" w:rsidR="008B3B56" w:rsidRDefault="008B3B56" w:rsidP="006C0548">
      <w:pPr>
        <w:spacing w:after="0"/>
        <w:ind w:left="-567"/>
        <w:rPr>
          <w:rFonts w:ascii="Arial" w:hAnsi="Arial" w:cs="Arial"/>
        </w:rPr>
      </w:pPr>
    </w:p>
    <w:p w14:paraId="2529F3DA" w14:textId="77777777" w:rsidR="008B3B56" w:rsidRDefault="008B3B56" w:rsidP="006C0548">
      <w:pPr>
        <w:spacing w:after="0"/>
        <w:ind w:left="-567"/>
        <w:rPr>
          <w:rFonts w:ascii="Arial" w:hAnsi="Arial" w:cs="Arial"/>
        </w:rPr>
      </w:pPr>
    </w:p>
    <w:p w14:paraId="557CB82D" w14:textId="0B2A9E06" w:rsidR="008B3B56" w:rsidRDefault="008B3B56" w:rsidP="006C0548">
      <w:pPr>
        <w:spacing w:after="0"/>
        <w:ind w:left="-567"/>
        <w:rPr>
          <w:rFonts w:ascii="Arial" w:hAnsi="Arial" w:cs="Arial"/>
        </w:rPr>
      </w:pPr>
      <w:r>
        <w:rPr>
          <w:rFonts w:ascii="Arial" w:hAnsi="Arial" w:cs="Arial"/>
        </w:rPr>
        <w:t xml:space="preserve">III. </w:t>
      </w:r>
      <w:r w:rsidR="006C0548">
        <w:rPr>
          <w:rFonts w:ascii="Arial" w:hAnsi="Arial" w:cs="Arial"/>
        </w:rPr>
        <w:tab/>
      </w:r>
      <w:r>
        <w:rPr>
          <w:rFonts w:ascii="Arial" w:hAnsi="Arial" w:cs="Arial"/>
        </w:rPr>
        <w:t>Z. A.</w:t>
      </w:r>
    </w:p>
    <w:p w14:paraId="2CB28937" w14:textId="77777777" w:rsidR="008B3B56" w:rsidRDefault="008B3B56" w:rsidP="008B3B56">
      <w:pPr>
        <w:spacing w:after="0"/>
        <w:rPr>
          <w:rFonts w:ascii="Arial" w:hAnsi="Arial" w:cs="Arial"/>
        </w:rPr>
      </w:pPr>
    </w:p>
    <w:p w14:paraId="5846C7EA" w14:textId="77777777" w:rsidR="008B3B56" w:rsidRDefault="008B3B56" w:rsidP="008B3B56">
      <w:pPr>
        <w:spacing w:after="0"/>
        <w:rPr>
          <w:rFonts w:ascii="Arial" w:hAnsi="Arial" w:cs="Arial"/>
        </w:rPr>
      </w:pPr>
    </w:p>
    <w:p w14:paraId="2E703A0B" w14:textId="77777777" w:rsidR="008B3B56" w:rsidRDefault="008B3B56" w:rsidP="008B3B56">
      <w:pPr>
        <w:spacing w:after="0"/>
        <w:rPr>
          <w:rFonts w:ascii="Arial" w:hAnsi="Arial" w:cs="Arial"/>
        </w:rPr>
      </w:pPr>
    </w:p>
    <w:p w14:paraId="226F9044" w14:textId="49965107" w:rsidR="008B3B56" w:rsidRDefault="008B3B56" w:rsidP="008B3B56">
      <w:pPr>
        <w:spacing w:after="0"/>
        <w:rPr>
          <w:rFonts w:ascii="Arial" w:hAnsi="Arial" w:cs="Arial"/>
        </w:rPr>
      </w:pPr>
      <w:r>
        <w:rPr>
          <w:rFonts w:ascii="Arial" w:hAnsi="Arial" w:cs="Arial"/>
        </w:rPr>
        <w:t xml:space="preserve">Tirschenreuth, den </w:t>
      </w:r>
      <w:r w:rsidR="006C0548">
        <w:rPr>
          <w:rFonts w:ascii="Arial" w:hAnsi="Arial" w:cs="Arial"/>
        </w:rPr>
        <w:t>28</w:t>
      </w:r>
      <w:r>
        <w:rPr>
          <w:rFonts w:ascii="Arial" w:hAnsi="Arial" w:cs="Arial"/>
        </w:rPr>
        <w:t>.03.2025</w:t>
      </w:r>
    </w:p>
    <w:p w14:paraId="2CFE3322" w14:textId="77777777" w:rsidR="008B3B56" w:rsidRDefault="008B3B56" w:rsidP="008B3B56">
      <w:pPr>
        <w:spacing w:after="0"/>
        <w:rPr>
          <w:rFonts w:ascii="Arial" w:hAnsi="Arial" w:cs="Arial"/>
        </w:rPr>
      </w:pPr>
      <w:r>
        <w:rPr>
          <w:rFonts w:ascii="Arial" w:hAnsi="Arial" w:cs="Arial"/>
        </w:rPr>
        <w:t>Landratsamt Tirschenreuth</w:t>
      </w:r>
    </w:p>
    <w:p w14:paraId="2EFC5C32" w14:textId="77777777" w:rsidR="008B3B56" w:rsidRDefault="008B3B56" w:rsidP="008B3B56">
      <w:pPr>
        <w:spacing w:after="0"/>
        <w:rPr>
          <w:rFonts w:ascii="Arial" w:hAnsi="Arial" w:cs="Arial"/>
        </w:rPr>
      </w:pPr>
    </w:p>
    <w:p w14:paraId="2269B086" w14:textId="77777777" w:rsidR="008B3B56" w:rsidRDefault="008B3B56" w:rsidP="008B3B56">
      <w:pPr>
        <w:spacing w:after="0"/>
        <w:rPr>
          <w:rFonts w:ascii="Arial" w:hAnsi="Arial" w:cs="Arial"/>
        </w:rPr>
      </w:pPr>
    </w:p>
    <w:p w14:paraId="4BA5CDA9" w14:textId="77777777" w:rsidR="008B3B56" w:rsidRDefault="008B3B56" w:rsidP="008B3B56">
      <w:pPr>
        <w:spacing w:after="0"/>
        <w:rPr>
          <w:rFonts w:ascii="Arial" w:hAnsi="Arial" w:cs="Arial"/>
        </w:rPr>
      </w:pPr>
    </w:p>
    <w:p w14:paraId="32CFA316" w14:textId="77777777" w:rsidR="008B3B56" w:rsidRDefault="008B3B56" w:rsidP="008B3B56">
      <w:pPr>
        <w:spacing w:after="0"/>
        <w:rPr>
          <w:rFonts w:ascii="Arial" w:hAnsi="Arial" w:cs="Arial"/>
        </w:rPr>
      </w:pPr>
      <w:proofErr w:type="spellStart"/>
      <w:r>
        <w:rPr>
          <w:rFonts w:ascii="Arial" w:hAnsi="Arial" w:cs="Arial"/>
        </w:rPr>
        <w:t>Üblacker</w:t>
      </w:r>
      <w:proofErr w:type="spellEnd"/>
    </w:p>
    <w:p w14:paraId="24A619CA" w14:textId="77777777" w:rsidR="008B3B56" w:rsidRPr="00984B2C" w:rsidRDefault="008B3B56" w:rsidP="00984B2C">
      <w:pPr>
        <w:spacing w:after="0" w:line="240" w:lineRule="auto"/>
        <w:rPr>
          <w:rFonts w:ascii="Arial" w:hAnsi="Arial" w:cs="Arial"/>
        </w:rPr>
      </w:pPr>
    </w:p>
    <w:sectPr w:rsidR="008B3B56" w:rsidRPr="00984B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B5E"/>
    <w:multiLevelType w:val="hybridMultilevel"/>
    <w:tmpl w:val="5EA44CEE"/>
    <w:lvl w:ilvl="0" w:tplc="ADD8BC2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60F0C1B"/>
    <w:multiLevelType w:val="hybridMultilevel"/>
    <w:tmpl w:val="16925B5C"/>
    <w:lvl w:ilvl="0" w:tplc="BA4EBF8C">
      <w:start w:val="2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2541826">
    <w:abstractNumId w:val="0"/>
  </w:num>
  <w:num w:numId="2" w16cid:durableId="185944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D7"/>
    <w:rsid w:val="000F3686"/>
    <w:rsid w:val="006C0548"/>
    <w:rsid w:val="007A25E2"/>
    <w:rsid w:val="008B3B56"/>
    <w:rsid w:val="00984B2C"/>
    <w:rsid w:val="009B3088"/>
    <w:rsid w:val="009C7EB5"/>
    <w:rsid w:val="00A45295"/>
    <w:rsid w:val="00A51713"/>
    <w:rsid w:val="00A77D36"/>
    <w:rsid w:val="00BE1092"/>
    <w:rsid w:val="00C5352D"/>
    <w:rsid w:val="00CA6931"/>
    <w:rsid w:val="00CE12E2"/>
    <w:rsid w:val="00D67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612A"/>
  <w15:chartTrackingRefBased/>
  <w15:docId w15:val="{BCC49DC9-914C-4332-B051-B4017711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67AD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D67AD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D67AD7"/>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D67AD7"/>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67AD7"/>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D67AD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67AD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67AD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67AD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7AD7"/>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D67AD7"/>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D67AD7"/>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D67AD7"/>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67AD7"/>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D67AD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67AD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67AD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67AD7"/>
    <w:rPr>
      <w:rFonts w:eastAsiaTheme="majorEastAsia" w:cstheme="majorBidi"/>
      <w:color w:val="272727" w:themeColor="text1" w:themeTint="D8"/>
    </w:rPr>
  </w:style>
  <w:style w:type="paragraph" w:styleId="Titel">
    <w:name w:val="Title"/>
    <w:basedOn w:val="Standard"/>
    <w:next w:val="Standard"/>
    <w:link w:val="TitelZchn"/>
    <w:uiPriority w:val="10"/>
    <w:qFormat/>
    <w:rsid w:val="00D67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67AD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67AD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67AD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67AD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67AD7"/>
    <w:rPr>
      <w:i/>
      <w:iCs/>
      <w:color w:val="404040" w:themeColor="text1" w:themeTint="BF"/>
    </w:rPr>
  </w:style>
  <w:style w:type="paragraph" w:styleId="Listenabsatz">
    <w:name w:val="List Paragraph"/>
    <w:basedOn w:val="Standard"/>
    <w:uiPriority w:val="34"/>
    <w:qFormat/>
    <w:rsid w:val="00D67AD7"/>
    <w:pPr>
      <w:ind w:left="720"/>
      <w:contextualSpacing/>
    </w:pPr>
  </w:style>
  <w:style w:type="character" w:styleId="IntensiveHervorhebung">
    <w:name w:val="Intense Emphasis"/>
    <w:basedOn w:val="Absatz-Standardschriftart"/>
    <w:uiPriority w:val="21"/>
    <w:qFormat/>
    <w:rsid w:val="00D67AD7"/>
    <w:rPr>
      <w:i/>
      <w:iCs/>
      <w:color w:val="2E74B5" w:themeColor="accent1" w:themeShade="BF"/>
    </w:rPr>
  </w:style>
  <w:style w:type="paragraph" w:styleId="IntensivesZitat">
    <w:name w:val="Intense Quote"/>
    <w:basedOn w:val="Standard"/>
    <w:next w:val="Standard"/>
    <w:link w:val="IntensivesZitatZchn"/>
    <w:uiPriority w:val="30"/>
    <w:qFormat/>
    <w:rsid w:val="00D67AD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D67AD7"/>
    <w:rPr>
      <w:i/>
      <w:iCs/>
      <w:color w:val="2E74B5" w:themeColor="accent1" w:themeShade="BF"/>
    </w:rPr>
  </w:style>
  <w:style w:type="character" w:styleId="IntensiverVerweis">
    <w:name w:val="Intense Reference"/>
    <w:basedOn w:val="Absatz-Standardschriftart"/>
    <w:uiPriority w:val="32"/>
    <w:qFormat/>
    <w:rsid w:val="00D67AD7"/>
    <w:rPr>
      <w:b/>
      <w:bCs/>
      <w:smallCaps/>
      <w:color w:val="2E74B5" w:themeColor="accent1" w:themeShade="BF"/>
      <w:spacing w:val="5"/>
    </w:rPr>
  </w:style>
  <w:style w:type="table" w:styleId="Tabellenraster">
    <w:name w:val="Table Grid"/>
    <w:basedOn w:val="NormaleTabelle"/>
    <w:uiPriority w:val="39"/>
    <w:rsid w:val="00CA69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5312</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Ueblacker Birgit</dc:creator>
  <cp:keywords/>
  <dc:description/>
  <cp:lastModifiedBy>Ueblacker Birgit</cp:lastModifiedBy>
  <cp:revision>2</cp:revision>
  <cp:lastPrinted>2025-03-28T10:48:00Z</cp:lastPrinted>
  <dcterms:created xsi:type="dcterms:W3CDTF">2025-03-28T11:10:00Z</dcterms:created>
  <dcterms:modified xsi:type="dcterms:W3CDTF">2025-03-28T11:10:00Z</dcterms:modified>
</cp:coreProperties>
</file>