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</w:rPr>
      </w:pPr>
      <w:r>
        <w:rPr>
          <w:b/>
        </w:rPr>
        <w:t>Ergebnis einer Vorprüfung nach § 5 des Gesetzes über die Umweltverträglichkeitsprüfung (UVPG)</w:t>
      </w:r>
    </w:p>
    <w:p>
      <w:r>
        <w:t xml:space="preserve">Bekanntgabe einer Feststellung v. </w:t>
      </w:r>
      <w:r>
        <w:t>29.04</w:t>
      </w:r>
      <w:r>
        <w:t>.202</w:t>
      </w:r>
      <w:r>
        <w:t>2</w:t>
      </w:r>
    </w:p>
    <w:p/>
    <w:p>
      <w:r>
        <w:t>D</w:t>
      </w:r>
      <w:r>
        <w:t xml:space="preserve">ie </w:t>
      </w:r>
      <w:proofErr w:type="spellStart"/>
      <w:r>
        <w:t>Sanplan</w:t>
      </w:r>
      <w:proofErr w:type="spellEnd"/>
      <w:r>
        <w:t xml:space="preserve"> Planungsgesellschaft für technische Gebäudeausrüstung - Nürnberg hat bei der Stadt Erlang</w:t>
      </w:r>
      <w:r>
        <w:t xml:space="preserve">en </w:t>
      </w:r>
      <w:r>
        <w:t>eine wesentliche Änderung der</w:t>
      </w:r>
      <w:r>
        <w:t xml:space="preserve"> bestehenden Hackschnitzelf</w:t>
      </w:r>
      <w:r>
        <w:t xml:space="preserve">euerungsanlage </w:t>
      </w:r>
      <w:r>
        <w:t>des Klinikums Am Europakanal, Am Europakanal 71 in</w:t>
      </w:r>
      <w:r>
        <w:t xml:space="preserve"> Erlangen nach § 16 BImSchG beantragt.</w:t>
      </w:r>
      <w:r>
        <w:t xml:space="preserve"> Im Zuge der Antragskonferenz einigten sich alle anwesenden darauf, dass statt einer bloßen Änderungsgenehmigung aufgrund des Umfangs eine Neugenehmigung der Heizungsanlage durchzuführen ist.</w:t>
      </w:r>
      <w:r>
        <w:t xml:space="preserve"> </w:t>
      </w:r>
    </w:p>
    <w:p>
      <w:bookmarkStart w:id="0" w:name="_GoBack"/>
      <w:bookmarkEnd w:id="0"/>
      <w:r>
        <w:t>Die Versorgung des bestehenden Klinikums mit Wärme erfolgt derzeit über die im</w:t>
      </w:r>
      <w:r>
        <w:t xml:space="preserve"> </w:t>
      </w:r>
      <w:r>
        <w:t>Heizhaus Gebäude K untergebrachte bestehende Heizungsanlage. Im Heizhaus ist</w:t>
      </w:r>
      <w:r>
        <w:t xml:space="preserve"> </w:t>
      </w:r>
      <w:r>
        <w:t xml:space="preserve">ein </w:t>
      </w:r>
      <w:proofErr w:type="spellStart"/>
      <w:r>
        <w:t>Ölkessel</w:t>
      </w:r>
      <w:proofErr w:type="spellEnd"/>
      <w:r>
        <w:t xml:space="preserve"> mit 6 MW Heizleistung installiert. Dieser dient als Redundanz zur</w:t>
      </w:r>
      <w:r>
        <w:t xml:space="preserve"> </w:t>
      </w:r>
      <w:r>
        <w:t>Hackschnitzelheizanlage mit 4 MW Heizleistung, welche über eine erdverlegte</w:t>
      </w:r>
      <w:r>
        <w:t xml:space="preserve"> </w:t>
      </w:r>
      <w:r>
        <w:t>Heizleitung mit dem Kesselhaus verbunden ist.</w:t>
      </w:r>
      <w:r>
        <w:t xml:space="preserve"> </w:t>
      </w:r>
      <w:r>
        <w:t>Das bestehende Heizhaus im Gebäude K liegt im Baufeld des 2. Bauabschnittes</w:t>
      </w:r>
      <w:r>
        <w:t xml:space="preserve"> </w:t>
      </w:r>
      <w:r>
        <w:t>und wird bereits vor Errichtung des BA 2 abgerissen. Ebenso endet der Vertrag mit</w:t>
      </w:r>
      <w:r>
        <w:t xml:space="preserve"> </w:t>
      </w:r>
      <w:r>
        <w:t>dem Wärmelieferanten der Hackschnitzelanlage.</w:t>
      </w:r>
    </w:p>
    <w:p>
      <w:r>
        <w:t>Deshalb ist die Neustrukturierung der Energieversorgung Gegenstand des BA 1.</w:t>
      </w:r>
    </w:p>
    <w:p>
      <w:r>
        <w:t>Die Energiezentrale wird mit folgender Konfiguration gemäß der Energiekonzeption</w:t>
      </w:r>
      <w:r>
        <w:t xml:space="preserve"> </w:t>
      </w:r>
      <w:r>
        <w:t xml:space="preserve">von </w:t>
      </w:r>
      <w:proofErr w:type="spellStart"/>
      <w:r>
        <w:t>eptima</w:t>
      </w:r>
      <w:proofErr w:type="spellEnd"/>
      <w:r>
        <w:t xml:space="preserve"> vorgesehen:</w:t>
      </w:r>
    </w:p>
    <w:p>
      <w:r>
        <w:t>1 Holzhackgutkessel: - 1,3 MW Nennwärmeleistung</w:t>
      </w:r>
    </w:p>
    <w:p>
      <w:r>
        <w:t>- 1,45 MW Feuerungswärmeleistung</w:t>
      </w:r>
    </w:p>
    <w:p>
      <w:r>
        <w:t>2 Erdgaskessel je: - 1,5 MW Nennwärmeleistung</w:t>
      </w:r>
    </w:p>
    <w:p>
      <w:r>
        <w:t>- 1,565 MW Feuerungswärmeleistung</w:t>
      </w:r>
    </w:p>
    <w:p>
      <w:r>
        <w:t>1 Erdgaskessel: - 0,5 MW Nennwärmeleistung</w:t>
      </w:r>
    </w:p>
    <w:p>
      <w:r>
        <w:t>- 0,525 MW Feuerungswärmeleistung</w:t>
      </w:r>
    </w:p>
    <w:p>
      <w:r>
        <w:t>1 BHKW: - 290 kW thermischer Leistung</w:t>
      </w:r>
    </w:p>
    <w:p>
      <w:r>
        <w:t>- 610 kW zugeführte Leistung</w:t>
      </w:r>
    </w:p>
    <w:p>
      <w:r>
        <w:t>Das bestehende Gebäude der Biomasseheizanlage wird für die Aufstellung des</w:t>
      </w:r>
      <w:r>
        <w:t xml:space="preserve"> </w:t>
      </w:r>
      <w:r>
        <w:t>neuen Hackgutkessel wiederverwendet, ebenso die bestehende Lagerhalle für die</w:t>
      </w:r>
      <w:r>
        <w:t xml:space="preserve"> </w:t>
      </w:r>
      <w:r>
        <w:t>Lagerung der Hackschnitzel. Die bestehende Hackgutkesselanlage wird demontiert.</w:t>
      </w:r>
    </w:p>
    <w:p/>
    <w:p>
      <w:r>
        <w:t>Nach § 5 UVPG in Verbindung mit Nr. 1.2.3.2 Spalte 2 der Anlage 1 UVPG und unter Berücksichtigung der Kriterien von Nummer 2.3 der Anlage 3 UVPG wurde festgestellt, dass für das Vorhaben eine standortbezogene Vorprüfung durchzuführen war.</w:t>
      </w:r>
    </w:p>
    <w:p>
      <w:r>
        <w:t>Die standortbezogene UVP-Vorprüfung des Einzelfalls kommt nach Prüfung der Gegebenheiten zu Luftverunreinigungen, Lärmemissionen, Auswirkungen auf Wasser, Natur, Boden</w:t>
      </w:r>
      <w:r>
        <w:t xml:space="preserve">, </w:t>
      </w:r>
      <w:r>
        <w:t>Unfallrisiko</w:t>
      </w:r>
      <w:r>
        <w:t xml:space="preserve"> und Denkmalschutz</w:t>
      </w:r>
      <w:r>
        <w:t xml:space="preserve"> zum Ergebnis, dass durch die beantragte Änderung der Anlage für keines der einschlägigen Schutzgüter erhebliche nachteilige Umweltauswirkungen zu erwarten sind. Eine Umweltverträglichkeitsprüfung ist somit für die beantragte Anlage nicht erforderlich.</w:t>
      </w:r>
    </w:p>
    <w:p/>
    <w:p>
      <w:r>
        <w:t>Diese Feststellung ist nicht selbständig anfechtbar.</w:t>
      </w:r>
    </w:p>
    <w:p/>
    <w:p>
      <w:r>
        <w:t>Die für die Feststellung relevanten Unterlagen können nach telefonischer Vereinbarung unter der unten genannten Telefonnummer im Dienstgebäude Schuhstraße 40, 91052 Erlangen, 4. OG eingesehen werden.</w:t>
      </w:r>
    </w:p>
    <w:p/>
    <w:p>
      <w:r>
        <w:t>Rechtsgrundlage</w:t>
      </w:r>
    </w:p>
    <w:p>
      <w:r>
        <w:t>U V P G</w:t>
      </w:r>
    </w:p>
    <w:p>
      <w:r>
        <w:t>Gesetz über die Umweltverträglichkeitsprüfung (UVPG) in der Fassung der Bekanntmachung vom 24. Februar 2010 (BGBl. I S. 94), zuletzt geändert durch Artikel 2 des Gesetzes vom 12. Dezember 2019 (BGBl. I S. 2513).</w:t>
      </w:r>
    </w:p>
    <w:p/>
    <w:p>
      <w:r>
        <w:t>Stadt Erlangen, Amt für Umweltschutz und Energiefragen/Immissionsschutz</w:t>
      </w:r>
    </w:p>
    <w:p>
      <w:r>
        <w:t>(Tel. 09131/86-0)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02076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1F8450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1C09C3"/>
    <w:multiLevelType w:val="multilevel"/>
    <w:tmpl w:val="3F004A78"/>
    <w:lvl w:ilvl="0">
      <w:start w:val="1"/>
      <w:numFmt w:val="decimal"/>
      <w:pStyle w:val="Aufgliederu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ufgliederu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Aufgliederu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Aufgliederu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16802E3"/>
    <w:multiLevelType w:val="multilevel"/>
    <w:tmpl w:val="C3EE3D8E"/>
    <w:lvl w:ilvl="0">
      <w:start w:val="1"/>
      <w:numFmt w:val="decimal"/>
      <w:pStyle w:val="Gliederu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Gliederung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Gliederu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Gliederu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4541E9E"/>
    <w:multiLevelType w:val="hybridMultilevel"/>
    <w:tmpl w:val="D4D46AD6"/>
    <w:lvl w:ilvl="0" w:tplc="F6468478">
      <w:start w:val="1"/>
      <w:numFmt w:val="upperRoman"/>
      <w:pStyle w:val="LEITVERM"/>
      <w:lvlText w:val="%1."/>
      <w:lvlJc w:val="left"/>
      <w:pPr>
        <w:tabs>
          <w:tab w:val="num" w:pos="323"/>
        </w:tabs>
        <w:ind w:left="-397" w:firstLine="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F5775-3E9D-4053-82DE-860E2C51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Text F2"/>
    <w:qFormat/>
    <w:pPr>
      <w:spacing w:after="100"/>
    </w:pPr>
    <w:rPr>
      <w:rFonts w:ascii="Arial" w:hAnsi="Arial"/>
      <w:sz w:val="22"/>
      <w:szCs w:val="24"/>
    </w:rPr>
  </w:style>
  <w:style w:type="paragraph" w:styleId="berschrift1">
    <w:name w:val="heading 1"/>
    <w:aliases w:val="F5"/>
    <w:basedOn w:val="Standard"/>
    <w:next w:val="Standard"/>
    <w:qFormat/>
    <w:pPr>
      <w:keepNext/>
      <w:spacing w:before="120"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b/>
      <w:bCs/>
      <w:sz w:val="26"/>
    </w:rPr>
  </w:style>
  <w:style w:type="paragraph" w:styleId="berschrift3">
    <w:name w:val="heading 3"/>
    <w:basedOn w:val="Standard"/>
    <w:next w:val="Standard"/>
    <w:qFormat/>
    <w:pPr>
      <w:keepNext/>
      <w:spacing w:before="120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pPr>
      <w:spacing w:before="12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pPr>
      <w:spacing w:before="12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12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12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pPr>
      <w:spacing w:before="12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liederung1">
    <w:name w:val="Aufgliederung 1"/>
    <w:basedOn w:val="Standard"/>
    <w:next w:val="Standard"/>
    <w:pPr>
      <w:numPr>
        <w:numId w:val="1"/>
      </w:numPr>
    </w:pPr>
  </w:style>
  <w:style w:type="paragraph" w:customStyle="1" w:styleId="Aufgliederung2">
    <w:name w:val="Aufgliederung 2"/>
    <w:basedOn w:val="Standard"/>
    <w:next w:val="Standard"/>
    <w:pPr>
      <w:numPr>
        <w:ilvl w:val="1"/>
        <w:numId w:val="2"/>
      </w:numPr>
      <w:tabs>
        <w:tab w:val="clear" w:pos="720"/>
        <w:tab w:val="num" w:pos="440"/>
      </w:tabs>
    </w:pPr>
  </w:style>
  <w:style w:type="paragraph" w:customStyle="1" w:styleId="Aufgliederung3">
    <w:name w:val="Aufgliederung 3"/>
    <w:basedOn w:val="Standard"/>
    <w:next w:val="Standard"/>
    <w:pPr>
      <w:numPr>
        <w:ilvl w:val="2"/>
        <w:numId w:val="3"/>
      </w:numPr>
      <w:tabs>
        <w:tab w:val="clear" w:pos="720"/>
        <w:tab w:val="num" w:pos="660"/>
      </w:tabs>
    </w:pPr>
  </w:style>
  <w:style w:type="paragraph" w:customStyle="1" w:styleId="Aufgliederung4">
    <w:name w:val="Aufgliederung 4"/>
    <w:basedOn w:val="Standard"/>
    <w:next w:val="Standard"/>
    <w:pPr>
      <w:numPr>
        <w:ilvl w:val="3"/>
        <w:numId w:val="4"/>
      </w:numPr>
      <w:tabs>
        <w:tab w:val="clear" w:pos="1080"/>
        <w:tab w:val="num" w:pos="880"/>
      </w:tabs>
    </w:pPr>
  </w:style>
  <w:style w:type="paragraph" w:styleId="Aufzhlungszeichen">
    <w:name w:val="List Bullet"/>
    <w:aliases w:val="F7"/>
    <w:basedOn w:val="Standard"/>
    <w:autoRedefine/>
    <w:pPr>
      <w:numPr>
        <w:numId w:val="6"/>
      </w:numPr>
    </w:pPr>
  </w:style>
  <w:style w:type="paragraph" w:customStyle="1" w:styleId="Betreff">
    <w:name w:val="Betreff"/>
    <w:aliases w:val="F3"/>
    <w:basedOn w:val="Standard"/>
    <w:next w:val="Standard"/>
    <w:pPr>
      <w:pBdr>
        <w:bottom w:val="single" w:sz="8" w:space="1" w:color="auto"/>
      </w:pBdr>
      <w:spacing w:after="240"/>
    </w:pPr>
    <w:rPr>
      <w:b/>
      <w:sz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Gliederung1">
    <w:name w:val="Gliederung 1"/>
    <w:aliases w:val="F8"/>
    <w:basedOn w:val="berschrift1"/>
    <w:next w:val="Standard"/>
    <w:pPr>
      <w:numPr>
        <w:numId w:val="7"/>
      </w:numPr>
      <w:tabs>
        <w:tab w:val="clear" w:pos="360"/>
        <w:tab w:val="num" w:pos="330"/>
      </w:tabs>
    </w:pPr>
    <w:rPr>
      <w:bCs w:val="0"/>
      <w:sz w:val="22"/>
    </w:rPr>
  </w:style>
  <w:style w:type="paragraph" w:customStyle="1" w:styleId="Gliederung2">
    <w:name w:val="Gliederung 2"/>
    <w:aliases w:val="F9"/>
    <w:basedOn w:val="berschrift2"/>
    <w:next w:val="Standard"/>
    <w:pPr>
      <w:numPr>
        <w:ilvl w:val="1"/>
        <w:numId w:val="8"/>
      </w:numPr>
      <w:tabs>
        <w:tab w:val="clear" w:pos="720"/>
        <w:tab w:val="num" w:pos="440"/>
      </w:tabs>
    </w:pPr>
    <w:rPr>
      <w:bCs w:val="0"/>
      <w:sz w:val="22"/>
    </w:rPr>
  </w:style>
  <w:style w:type="paragraph" w:customStyle="1" w:styleId="Gliederung3">
    <w:name w:val="Gliederung 3"/>
    <w:aliases w:val="F11"/>
    <w:basedOn w:val="berschrift3"/>
    <w:next w:val="Standard"/>
    <w:pPr>
      <w:numPr>
        <w:ilvl w:val="2"/>
        <w:numId w:val="9"/>
      </w:numPr>
      <w:tabs>
        <w:tab w:val="clear" w:pos="720"/>
        <w:tab w:val="num" w:pos="660"/>
      </w:tabs>
    </w:pPr>
    <w:rPr>
      <w:bCs w:val="0"/>
      <w:sz w:val="22"/>
    </w:rPr>
  </w:style>
  <w:style w:type="paragraph" w:customStyle="1" w:styleId="Gliederung4">
    <w:name w:val="Gliederung 4"/>
    <w:aliases w:val="F12"/>
    <w:basedOn w:val="berschrift4"/>
    <w:next w:val="Standard"/>
    <w:pPr>
      <w:numPr>
        <w:ilvl w:val="3"/>
        <w:numId w:val="10"/>
      </w:numPr>
      <w:tabs>
        <w:tab w:val="clear" w:pos="1080"/>
        <w:tab w:val="num" w:pos="880"/>
      </w:tabs>
    </w:pPr>
    <w:rPr>
      <w:bCs w:val="0"/>
    </w:rPr>
  </w:style>
  <w:style w:type="paragraph" w:customStyle="1" w:styleId="LEITVERM">
    <w:name w:val="LEIT_VERM"/>
    <w:aliases w:val="F4"/>
    <w:basedOn w:val="Standard"/>
    <w:pPr>
      <w:numPr>
        <w:numId w:val="11"/>
      </w:numPr>
      <w:tabs>
        <w:tab w:val="num" w:pos="0"/>
      </w:tabs>
      <w:ind w:left="0" w:hanging="567"/>
    </w:pPr>
  </w:style>
  <w:style w:type="paragraph" w:styleId="Listennummer">
    <w:name w:val="List Number"/>
    <w:aliases w:val="F6"/>
    <w:basedOn w:val="Standar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Menzner Christine</dc:creator>
  <cp:keywords/>
  <dc:description/>
  <cp:lastModifiedBy>Menzner Christine</cp:lastModifiedBy>
  <cp:revision>1</cp:revision>
  <dcterms:created xsi:type="dcterms:W3CDTF">2022-06-21T07:33:00Z</dcterms:created>
  <dcterms:modified xsi:type="dcterms:W3CDTF">2022-06-21T08:05:00Z</dcterms:modified>
</cp:coreProperties>
</file>