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1675" w:rsidRDefault="009F1675" w:rsidP="009F1675">
      <w:pPr>
        <w:jc w:val="center"/>
        <w:rPr>
          <w:b/>
          <w:sz w:val="28"/>
          <w:szCs w:val="28"/>
          <w:u w:val="single"/>
        </w:rPr>
      </w:pPr>
      <w:bookmarkStart w:id="0" w:name="_GoBack"/>
      <w:bookmarkEnd w:id="0"/>
      <w:r>
        <w:rPr>
          <w:b/>
          <w:sz w:val="28"/>
          <w:szCs w:val="28"/>
          <w:u w:val="single"/>
        </w:rPr>
        <w:t xml:space="preserve">B E K A N </w:t>
      </w:r>
      <w:proofErr w:type="spellStart"/>
      <w:r>
        <w:rPr>
          <w:b/>
          <w:sz w:val="28"/>
          <w:szCs w:val="28"/>
          <w:u w:val="single"/>
        </w:rPr>
        <w:t>N</w:t>
      </w:r>
      <w:proofErr w:type="spellEnd"/>
      <w:r>
        <w:rPr>
          <w:b/>
          <w:sz w:val="28"/>
          <w:szCs w:val="28"/>
          <w:u w:val="single"/>
        </w:rPr>
        <w:t xml:space="preserve"> T M A C H U N G</w:t>
      </w:r>
    </w:p>
    <w:p w:rsidR="009F1675" w:rsidRDefault="009F1675" w:rsidP="009F1675">
      <w:pPr>
        <w:jc w:val="both"/>
        <w:rPr>
          <w:szCs w:val="22"/>
        </w:rPr>
      </w:pPr>
    </w:p>
    <w:p w:rsidR="009F1675" w:rsidRDefault="009F1675" w:rsidP="009F1675">
      <w:pPr>
        <w:jc w:val="both"/>
        <w:rPr>
          <w:szCs w:val="22"/>
        </w:rPr>
      </w:pPr>
    </w:p>
    <w:p w:rsidR="009F1675" w:rsidRDefault="009F1675" w:rsidP="009F1675">
      <w:pPr>
        <w:jc w:val="both"/>
        <w:rPr>
          <w:sz w:val="24"/>
          <w:szCs w:val="24"/>
        </w:rPr>
      </w:pPr>
      <w:r>
        <w:rPr>
          <w:sz w:val="24"/>
          <w:szCs w:val="24"/>
        </w:rPr>
        <w:t xml:space="preserve">Die Gemeinde </w:t>
      </w:r>
      <w:proofErr w:type="spellStart"/>
      <w:r>
        <w:rPr>
          <w:sz w:val="24"/>
          <w:szCs w:val="24"/>
        </w:rPr>
        <w:t>Oberderdingen</w:t>
      </w:r>
      <w:proofErr w:type="spellEnd"/>
      <w:r>
        <w:rPr>
          <w:sz w:val="24"/>
          <w:szCs w:val="24"/>
        </w:rPr>
        <w:t xml:space="preserve">, </w:t>
      </w:r>
      <w:proofErr w:type="spellStart"/>
      <w:r>
        <w:rPr>
          <w:sz w:val="24"/>
          <w:szCs w:val="24"/>
        </w:rPr>
        <w:t>Amthof</w:t>
      </w:r>
      <w:proofErr w:type="spellEnd"/>
      <w:r>
        <w:rPr>
          <w:sz w:val="24"/>
          <w:szCs w:val="24"/>
        </w:rPr>
        <w:t xml:space="preserve"> 13, 75038 </w:t>
      </w:r>
      <w:proofErr w:type="spellStart"/>
      <w:r>
        <w:rPr>
          <w:sz w:val="24"/>
          <w:szCs w:val="24"/>
        </w:rPr>
        <w:t>Oberderdingen</w:t>
      </w:r>
      <w:proofErr w:type="spellEnd"/>
      <w:r>
        <w:rPr>
          <w:sz w:val="24"/>
          <w:szCs w:val="24"/>
        </w:rPr>
        <w:t xml:space="preserve"> hat beim Landratsamt Karlsruhe, </w:t>
      </w:r>
      <w:proofErr w:type="spellStart"/>
      <w:r>
        <w:rPr>
          <w:sz w:val="24"/>
          <w:szCs w:val="24"/>
        </w:rPr>
        <w:t>Beiertheimer</w:t>
      </w:r>
      <w:proofErr w:type="spellEnd"/>
      <w:r>
        <w:rPr>
          <w:sz w:val="24"/>
          <w:szCs w:val="24"/>
        </w:rPr>
        <w:t xml:space="preserve"> Allee 2, 76137 Karlsruhe die Durchführung eines wasserrechtlichen Planfeststellungsverfahrens gemäß § 68 Wasserhaushaltsgesetz</w:t>
      </w:r>
      <w:r>
        <w:rPr>
          <w:szCs w:val="22"/>
        </w:rPr>
        <w:t xml:space="preserve"> f</w:t>
      </w:r>
      <w:r>
        <w:rPr>
          <w:sz w:val="24"/>
          <w:szCs w:val="24"/>
        </w:rPr>
        <w:t xml:space="preserve">ür den Neubau des Hochwasserrückhaltebeckens 46 Breitwiesen (HRB 46) auf Gemarkung </w:t>
      </w:r>
      <w:proofErr w:type="spellStart"/>
      <w:r>
        <w:rPr>
          <w:sz w:val="24"/>
          <w:szCs w:val="24"/>
        </w:rPr>
        <w:t>Oberderdingen</w:t>
      </w:r>
      <w:proofErr w:type="spellEnd"/>
      <w:r>
        <w:rPr>
          <w:sz w:val="24"/>
          <w:szCs w:val="24"/>
        </w:rPr>
        <w:t xml:space="preserve"> beantragt.</w:t>
      </w:r>
    </w:p>
    <w:p w:rsidR="009F1675" w:rsidRDefault="009F1675" w:rsidP="009F1675">
      <w:pPr>
        <w:jc w:val="both"/>
        <w:rPr>
          <w:sz w:val="24"/>
          <w:szCs w:val="24"/>
        </w:rPr>
      </w:pPr>
      <w:r>
        <w:rPr>
          <w:sz w:val="24"/>
          <w:szCs w:val="24"/>
        </w:rPr>
        <w:t xml:space="preserve"> </w:t>
      </w:r>
    </w:p>
    <w:p w:rsidR="009F1675" w:rsidRDefault="009F1675" w:rsidP="009F1675">
      <w:pPr>
        <w:jc w:val="both"/>
        <w:rPr>
          <w:sz w:val="24"/>
          <w:szCs w:val="24"/>
        </w:rPr>
      </w:pPr>
      <w:r>
        <w:rPr>
          <w:sz w:val="24"/>
          <w:szCs w:val="24"/>
        </w:rPr>
        <w:t xml:space="preserve">Für das Verfahren ist das Landratsamt Karlsruhe, </w:t>
      </w:r>
      <w:proofErr w:type="spellStart"/>
      <w:r>
        <w:rPr>
          <w:sz w:val="24"/>
          <w:szCs w:val="24"/>
        </w:rPr>
        <w:t>Beiertheimer</w:t>
      </w:r>
      <w:proofErr w:type="spellEnd"/>
      <w:r>
        <w:rPr>
          <w:sz w:val="24"/>
          <w:szCs w:val="24"/>
        </w:rPr>
        <w:t xml:space="preserve"> Allee 2, 76137 Karlsruhe zuständig.</w:t>
      </w:r>
    </w:p>
    <w:p w:rsidR="009F1675" w:rsidRDefault="009F1675" w:rsidP="009F1675">
      <w:pPr>
        <w:spacing w:line="280" w:lineRule="atLeast"/>
        <w:jc w:val="both"/>
        <w:rPr>
          <w:sz w:val="24"/>
          <w:szCs w:val="24"/>
        </w:rPr>
      </w:pPr>
    </w:p>
    <w:p w:rsidR="009F1675" w:rsidRDefault="009F1675" w:rsidP="009F1675">
      <w:pPr>
        <w:spacing w:line="280" w:lineRule="atLeast"/>
        <w:jc w:val="both"/>
        <w:rPr>
          <w:sz w:val="24"/>
          <w:szCs w:val="24"/>
        </w:rPr>
      </w:pPr>
      <w:r>
        <w:rPr>
          <w:sz w:val="24"/>
          <w:szCs w:val="24"/>
        </w:rPr>
        <w:t>Das geplante HRB 46 Breitwiesen fällt auch unter den Anwendungsbereich des Gesetzes über die Umweltverträglichkeitsprüfung (UVPG). Zusammen mit den Antragsunterlagen wurde eine Umweltverträglichkeitsstudie (UVS) vorgelegt, aus der hervorgeht, dass bei ungünstigem Überflutungszeitpunkt erhebliche Ertragseinbußen bzw. Ernteausfälle auf den großflächig im Rückhaltebecken vorkommenden Acker- und Wiesenflächen ebenso möglich sind wie auf der im Entlastungsfall überströmten Fettwiese westlich der Verbindungsstraße. Bei Überflutung in den Wochen vor dem Schnitt bzw. vor der Ernte sind erhebliche Ertragseinbußen nicht auszuschließen. Aus diesem Grund besteht für das Vorhaben eine Pflicht zur Durchführung einer Umweltverträglichkeitsprüfung (UVP-Pflicht).</w:t>
      </w:r>
    </w:p>
    <w:p w:rsidR="009F1675" w:rsidRDefault="009F1675" w:rsidP="009F1675">
      <w:pPr>
        <w:jc w:val="both"/>
        <w:rPr>
          <w:sz w:val="24"/>
          <w:szCs w:val="24"/>
        </w:rPr>
      </w:pPr>
    </w:p>
    <w:p w:rsidR="00C6162C" w:rsidRDefault="00C6162C" w:rsidP="00C6162C">
      <w:pPr>
        <w:spacing w:line="280" w:lineRule="atLeast"/>
        <w:jc w:val="both"/>
        <w:rPr>
          <w:sz w:val="24"/>
          <w:szCs w:val="24"/>
        </w:rPr>
      </w:pPr>
      <w:r>
        <w:rPr>
          <w:sz w:val="24"/>
          <w:szCs w:val="24"/>
        </w:rPr>
        <w:t xml:space="preserve">Die Antragsunterlagen werden </w:t>
      </w:r>
      <w:r>
        <w:rPr>
          <w:b/>
          <w:sz w:val="24"/>
          <w:szCs w:val="24"/>
        </w:rPr>
        <w:t>vom 25.01.2021 bis 24.02.2021</w:t>
      </w:r>
      <w:r>
        <w:rPr>
          <w:sz w:val="24"/>
          <w:szCs w:val="24"/>
        </w:rPr>
        <w:t xml:space="preserve"> beim Bürgermeisteramt </w:t>
      </w:r>
      <w:proofErr w:type="spellStart"/>
      <w:r>
        <w:rPr>
          <w:sz w:val="24"/>
          <w:szCs w:val="24"/>
        </w:rPr>
        <w:t>Oberderdingen</w:t>
      </w:r>
      <w:proofErr w:type="spellEnd"/>
      <w:r>
        <w:rPr>
          <w:sz w:val="24"/>
          <w:szCs w:val="24"/>
        </w:rPr>
        <w:t xml:space="preserve">, </w:t>
      </w:r>
      <w:proofErr w:type="spellStart"/>
      <w:r>
        <w:rPr>
          <w:sz w:val="24"/>
          <w:szCs w:val="24"/>
        </w:rPr>
        <w:t>Amthof</w:t>
      </w:r>
      <w:proofErr w:type="spellEnd"/>
      <w:r>
        <w:rPr>
          <w:sz w:val="24"/>
          <w:szCs w:val="24"/>
        </w:rPr>
        <w:t xml:space="preserve"> 13, 75038 </w:t>
      </w:r>
      <w:proofErr w:type="spellStart"/>
      <w:r>
        <w:rPr>
          <w:sz w:val="24"/>
          <w:szCs w:val="24"/>
        </w:rPr>
        <w:t>Oberderdingen</w:t>
      </w:r>
      <w:proofErr w:type="spellEnd"/>
      <w:r>
        <w:rPr>
          <w:sz w:val="24"/>
          <w:szCs w:val="24"/>
        </w:rPr>
        <w:t xml:space="preserve"> im Bürgerbüro (EG, Eingang </w:t>
      </w:r>
      <w:proofErr w:type="gramStart"/>
      <w:r>
        <w:rPr>
          <w:sz w:val="24"/>
          <w:szCs w:val="24"/>
        </w:rPr>
        <w:t xml:space="preserve">links)   </w:t>
      </w:r>
      <w:proofErr w:type="gramEnd"/>
      <w:r>
        <w:rPr>
          <w:sz w:val="24"/>
          <w:szCs w:val="24"/>
        </w:rPr>
        <w:t xml:space="preserve"> während der Öffnungszeiten zur Einsicht ausgelegt. Telefonisch kann unter der Nr. 07045 / 43101 auch ein Termin zur Einsichtnahme vereinbart werden. </w:t>
      </w:r>
    </w:p>
    <w:p w:rsidR="00C6162C" w:rsidRDefault="00C6162C" w:rsidP="00C6162C">
      <w:pPr>
        <w:spacing w:line="280" w:lineRule="atLeast"/>
        <w:jc w:val="both"/>
        <w:rPr>
          <w:sz w:val="24"/>
          <w:szCs w:val="24"/>
        </w:rPr>
      </w:pPr>
    </w:p>
    <w:p w:rsidR="00C6162C" w:rsidRDefault="00C6162C" w:rsidP="00C6162C">
      <w:pPr>
        <w:spacing w:line="280" w:lineRule="atLeast"/>
        <w:jc w:val="both"/>
        <w:rPr>
          <w:sz w:val="24"/>
          <w:szCs w:val="24"/>
        </w:rPr>
      </w:pPr>
      <w:r>
        <w:rPr>
          <w:sz w:val="24"/>
          <w:szCs w:val="24"/>
        </w:rPr>
        <w:t xml:space="preserve">Zusätzlich können die Antragsunterlagen auch auf der Homepage der Gemeinde </w:t>
      </w:r>
      <w:proofErr w:type="spellStart"/>
      <w:r>
        <w:rPr>
          <w:sz w:val="24"/>
          <w:szCs w:val="24"/>
        </w:rPr>
        <w:t>Oberderdingen</w:t>
      </w:r>
      <w:proofErr w:type="spellEnd"/>
      <w:r>
        <w:rPr>
          <w:sz w:val="24"/>
          <w:szCs w:val="24"/>
        </w:rPr>
        <w:t xml:space="preserve"> unter </w:t>
      </w:r>
      <w:hyperlink r:id="rId5" w:history="1">
        <w:r>
          <w:rPr>
            <w:rStyle w:val="Hyperlink"/>
            <w:rFonts w:cs="Arial"/>
            <w:sz w:val="24"/>
            <w:szCs w:val="24"/>
            <w:lang w:eastAsia="en-US"/>
          </w:rPr>
          <w:t>https://www.oberderdingen.de/news?action=view_everything</w:t>
        </w:r>
      </w:hyperlink>
      <w:r>
        <w:rPr>
          <w:sz w:val="24"/>
          <w:szCs w:val="24"/>
        </w:rPr>
        <w:t xml:space="preserve"> eingesehen werden.</w:t>
      </w:r>
    </w:p>
    <w:p w:rsidR="009F1675" w:rsidRDefault="009F1675" w:rsidP="009F1675">
      <w:pPr>
        <w:spacing w:line="280" w:lineRule="atLeast"/>
        <w:jc w:val="both"/>
        <w:rPr>
          <w:sz w:val="24"/>
          <w:szCs w:val="24"/>
        </w:rPr>
      </w:pPr>
    </w:p>
    <w:p w:rsidR="00C6162C" w:rsidRDefault="00C6162C" w:rsidP="00C6162C">
      <w:pPr>
        <w:spacing w:line="280" w:lineRule="atLeast"/>
        <w:jc w:val="both"/>
        <w:rPr>
          <w:color w:val="FF0000"/>
          <w:sz w:val="24"/>
          <w:szCs w:val="24"/>
        </w:rPr>
      </w:pPr>
      <w:r>
        <w:rPr>
          <w:sz w:val="24"/>
          <w:szCs w:val="24"/>
        </w:rPr>
        <w:t xml:space="preserve">Die Bekanntmachung des Vorhabens und die dazugehörigen Planunterlagen werden auch auf der Internet-Seite des Landkreises Karlsruhe unter </w:t>
      </w:r>
      <w:r>
        <w:rPr>
          <w:i/>
          <w:sz w:val="24"/>
          <w:szCs w:val="24"/>
        </w:rPr>
        <w:t>„Amtliche Bekanntmachungen/ Umweltrechtsverfahren/ Wasserrecht“</w:t>
      </w:r>
      <w:r>
        <w:rPr>
          <w:sz w:val="24"/>
          <w:szCs w:val="24"/>
        </w:rPr>
        <w:t xml:space="preserve"> veröffentlicht. </w:t>
      </w:r>
    </w:p>
    <w:p w:rsidR="009F1675" w:rsidRDefault="009F1675" w:rsidP="009F1675">
      <w:pPr>
        <w:spacing w:line="280" w:lineRule="atLeast"/>
        <w:jc w:val="both"/>
        <w:rPr>
          <w:sz w:val="24"/>
          <w:szCs w:val="24"/>
        </w:rPr>
      </w:pPr>
    </w:p>
    <w:p w:rsidR="009F1675" w:rsidRDefault="00557A4F" w:rsidP="009F1675">
      <w:pPr>
        <w:spacing w:line="280" w:lineRule="atLeast"/>
        <w:jc w:val="both"/>
        <w:rPr>
          <w:sz w:val="24"/>
          <w:szCs w:val="24"/>
        </w:rPr>
      </w:pPr>
      <w:r>
        <w:rPr>
          <w:sz w:val="24"/>
          <w:szCs w:val="24"/>
        </w:rPr>
        <w:t>Folgende Berichte sind u. a. Gegenstand der Antragsunterlagen:</w:t>
      </w:r>
    </w:p>
    <w:p w:rsidR="00557A4F" w:rsidRDefault="00557A4F" w:rsidP="009F1675">
      <w:pPr>
        <w:spacing w:line="280" w:lineRule="atLeast"/>
        <w:jc w:val="both"/>
        <w:rPr>
          <w:sz w:val="24"/>
          <w:szCs w:val="24"/>
        </w:rPr>
      </w:pPr>
    </w:p>
    <w:p w:rsidR="00557A4F" w:rsidRPr="00557A4F" w:rsidRDefault="00557A4F" w:rsidP="00557A4F">
      <w:pPr>
        <w:pStyle w:val="Listenabsatz"/>
        <w:numPr>
          <w:ilvl w:val="0"/>
          <w:numId w:val="2"/>
        </w:numPr>
        <w:spacing w:line="280" w:lineRule="atLeast"/>
        <w:jc w:val="both"/>
        <w:rPr>
          <w:sz w:val="24"/>
          <w:szCs w:val="24"/>
        </w:rPr>
      </w:pPr>
      <w:r w:rsidRPr="00557A4F">
        <w:rPr>
          <w:sz w:val="24"/>
          <w:szCs w:val="24"/>
        </w:rPr>
        <w:t>Fortschreibung hydrologisches Flussgebietsmodel</w:t>
      </w:r>
    </w:p>
    <w:p w:rsidR="00557A4F" w:rsidRPr="00557A4F" w:rsidRDefault="00557A4F" w:rsidP="00557A4F">
      <w:pPr>
        <w:pStyle w:val="Listenabsatz"/>
        <w:numPr>
          <w:ilvl w:val="0"/>
          <w:numId w:val="2"/>
        </w:numPr>
        <w:spacing w:line="280" w:lineRule="atLeast"/>
        <w:jc w:val="both"/>
        <w:rPr>
          <w:sz w:val="24"/>
          <w:szCs w:val="24"/>
        </w:rPr>
      </w:pPr>
      <w:r w:rsidRPr="00557A4F">
        <w:rPr>
          <w:sz w:val="24"/>
          <w:szCs w:val="24"/>
        </w:rPr>
        <w:t>Naturschutzfachlicher Beitrag mit UVP-Bericht, Variantenvergleich, artenschutzrechtlicher Prüfung, FFH-Vorprüfung, Eingriffs-/Ausgleichbilanzierung und landschaftspflegerischer Begleitplan</w:t>
      </w:r>
    </w:p>
    <w:p w:rsidR="00557A4F" w:rsidRPr="00557A4F" w:rsidRDefault="00557A4F" w:rsidP="00557A4F">
      <w:pPr>
        <w:pStyle w:val="Listenabsatz"/>
        <w:numPr>
          <w:ilvl w:val="0"/>
          <w:numId w:val="2"/>
        </w:numPr>
        <w:spacing w:line="280" w:lineRule="atLeast"/>
        <w:jc w:val="both"/>
        <w:rPr>
          <w:sz w:val="24"/>
          <w:szCs w:val="24"/>
        </w:rPr>
      </w:pPr>
      <w:r w:rsidRPr="00557A4F">
        <w:rPr>
          <w:sz w:val="24"/>
          <w:szCs w:val="24"/>
        </w:rPr>
        <w:t>Ingenieurgeologisches Gutachten</w:t>
      </w:r>
    </w:p>
    <w:p w:rsidR="00557A4F" w:rsidRDefault="00557A4F" w:rsidP="009F1675">
      <w:pPr>
        <w:spacing w:line="280" w:lineRule="atLeast"/>
        <w:jc w:val="both"/>
        <w:rPr>
          <w:sz w:val="24"/>
          <w:szCs w:val="24"/>
        </w:rPr>
      </w:pPr>
    </w:p>
    <w:p w:rsidR="009F1675" w:rsidRDefault="00557A4F" w:rsidP="009F1675">
      <w:pPr>
        <w:spacing w:line="280" w:lineRule="atLeast"/>
        <w:jc w:val="both"/>
        <w:rPr>
          <w:sz w:val="24"/>
          <w:szCs w:val="24"/>
        </w:rPr>
      </w:pPr>
      <w:r>
        <w:rPr>
          <w:sz w:val="24"/>
          <w:szCs w:val="24"/>
        </w:rPr>
        <w:t>Die betroffene Öffentlichkeit</w:t>
      </w:r>
      <w:r w:rsidR="009F1675">
        <w:rPr>
          <w:sz w:val="24"/>
          <w:szCs w:val="24"/>
        </w:rPr>
        <w:t xml:space="preserve"> kann </w:t>
      </w:r>
      <w:r>
        <w:rPr>
          <w:sz w:val="24"/>
          <w:szCs w:val="24"/>
        </w:rPr>
        <w:t xml:space="preserve">sich </w:t>
      </w:r>
      <w:r w:rsidR="009F1675">
        <w:rPr>
          <w:sz w:val="24"/>
          <w:szCs w:val="24"/>
        </w:rPr>
        <w:t xml:space="preserve">bis </w:t>
      </w:r>
      <w:r>
        <w:rPr>
          <w:sz w:val="24"/>
          <w:szCs w:val="24"/>
        </w:rPr>
        <w:t>einen Monat</w:t>
      </w:r>
      <w:r w:rsidR="009F1675">
        <w:rPr>
          <w:sz w:val="24"/>
          <w:szCs w:val="24"/>
        </w:rPr>
        <w:t xml:space="preserve"> nach Ablauf der Auslegungsfrist schriftlich oder zur Niederschrift beim Landratsamt Karlsruhe -Amt für Umwelt und Arbeitsschutz-, </w:t>
      </w:r>
      <w:proofErr w:type="spellStart"/>
      <w:r w:rsidR="009F1675">
        <w:rPr>
          <w:sz w:val="24"/>
          <w:szCs w:val="24"/>
        </w:rPr>
        <w:t>Beiertheimer</w:t>
      </w:r>
      <w:proofErr w:type="spellEnd"/>
      <w:r w:rsidR="009F1675">
        <w:rPr>
          <w:sz w:val="24"/>
          <w:szCs w:val="24"/>
        </w:rPr>
        <w:t xml:space="preserve"> Allee 2, 76137 Karlsruhe</w:t>
      </w:r>
      <w:r>
        <w:rPr>
          <w:sz w:val="24"/>
          <w:szCs w:val="24"/>
        </w:rPr>
        <w:t xml:space="preserve"> äußern</w:t>
      </w:r>
      <w:r w:rsidR="009F1675">
        <w:rPr>
          <w:sz w:val="24"/>
          <w:szCs w:val="24"/>
        </w:rPr>
        <w:t>.</w:t>
      </w:r>
    </w:p>
    <w:p w:rsidR="009F1675" w:rsidRDefault="009F1675" w:rsidP="009F1675">
      <w:pPr>
        <w:spacing w:line="280" w:lineRule="atLeast"/>
        <w:jc w:val="both"/>
        <w:rPr>
          <w:sz w:val="24"/>
          <w:szCs w:val="24"/>
        </w:rPr>
      </w:pPr>
    </w:p>
    <w:p w:rsidR="009F1675" w:rsidRDefault="009F1675" w:rsidP="009F1675">
      <w:pPr>
        <w:spacing w:line="280" w:lineRule="atLeast"/>
        <w:jc w:val="both"/>
        <w:rPr>
          <w:sz w:val="24"/>
          <w:szCs w:val="24"/>
        </w:rPr>
      </w:pPr>
      <w:r>
        <w:rPr>
          <w:sz w:val="24"/>
          <w:szCs w:val="24"/>
        </w:rPr>
        <w:t xml:space="preserve">Diese Äußerungsfrist gilt auch für Stellungnahmen von Vereinigungen, die auf Grund einer Anerkennung nach anderen Rechtsvorschriften befugt sind, Rechtsbehelfe nach der Verwaltungsgerichtsordnung gegen die Entscheidung nach § 74 </w:t>
      </w:r>
      <w:proofErr w:type="spellStart"/>
      <w:r>
        <w:rPr>
          <w:sz w:val="24"/>
          <w:szCs w:val="24"/>
        </w:rPr>
        <w:t>Verwaltungsver-fahrensgesetz</w:t>
      </w:r>
      <w:proofErr w:type="spellEnd"/>
      <w:r>
        <w:rPr>
          <w:sz w:val="24"/>
          <w:szCs w:val="24"/>
        </w:rPr>
        <w:t xml:space="preserve"> einzulegen.</w:t>
      </w:r>
    </w:p>
    <w:p w:rsidR="009F1675" w:rsidRDefault="009F1675" w:rsidP="009F1675">
      <w:pPr>
        <w:spacing w:line="280" w:lineRule="atLeast"/>
        <w:jc w:val="both"/>
        <w:rPr>
          <w:sz w:val="24"/>
          <w:szCs w:val="24"/>
        </w:rPr>
      </w:pPr>
    </w:p>
    <w:p w:rsidR="00C6162C" w:rsidRDefault="00C6162C" w:rsidP="009F1675">
      <w:pPr>
        <w:spacing w:line="280" w:lineRule="atLeast"/>
        <w:jc w:val="both"/>
        <w:rPr>
          <w:sz w:val="24"/>
          <w:szCs w:val="24"/>
        </w:rPr>
      </w:pPr>
    </w:p>
    <w:p w:rsidR="00C6162C" w:rsidRDefault="00C6162C" w:rsidP="009F1675">
      <w:pPr>
        <w:spacing w:line="280" w:lineRule="atLeast"/>
        <w:jc w:val="both"/>
        <w:rPr>
          <w:sz w:val="24"/>
          <w:szCs w:val="24"/>
        </w:rPr>
      </w:pPr>
    </w:p>
    <w:p w:rsidR="009F1675" w:rsidRDefault="009F1675" w:rsidP="009F1675">
      <w:pPr>
        <w:spacing w:line="280" w:lineRule="atLeast"/>
        <w:jc w:val="both"/>
        <w:rPr>
          <w:sz w:val="24"/>
          <w:szCs w:val="24"/>
        </w:rPr>
      </w:pPr>
    </w:p>
    <w:p w:rsidR="009F1675" w:rsidRDefault="009F1675" w:rsidP="009F1675">
      <w:pPr>
        <w:spacing w:line="280" w:lineRule="atLeast"/>
        <w:jc w:val="both"/>
        <w:rPr>
          <w:sz w:val="24"/>
          <w:szCs w:val="24"/>
        </w:rPr>
      </w:pPr>
      <w:r>
        <w:rPr>
          <w:sz w:val="24"/>
          <w:szCs w:val="24"/>
        </w:rPr>
        <w:lastRenderedPageBreak/>
        <w:t>Es wird darauf hingewiesen, dass</w:t>
      </w:r>
    </w:p>
    <w:p w:rsidR="009F1675" w:rsidRDefault="009F1675" w:rsidP="009F1675">
      <w:pPr>
        <w:spacing w:line="280" w:lineRule="atLeast"/>
        <w:jc w:val="both"/>
        <w:rPr>
          <w:sz w:val="24"/>
          <w:szCs w:val="24"/>
        </w:rPr>
      </w:pPr>
    </w:p>
    <w:p w:rsidR="009F1675" w:rsidRDefault="009F1675" w:rsidP="00837C68">
      <w:pPr>
        <w:spacing w:line="280" w:lineRule="atLeast"/>
        <w:ind w:left="567" w:hanging="567"/>
        <w:jc w:val="both"/>
        <w:rPr>
          <w:color w:val="FF0000"/>
          <w:sz w:val="24"/>
          <w:szCs w:val="24"/>
        </w:rPr>
      </w:pPr>
      <w:r>
        <w:rPr>
          <w:sz w:val="24"/>
          <w:szCs w:val="24"/>
        </w:rPr>
        <w:t>a)</w:t>
      </w:r>
      <w:r>
        <w:rPr>
          <w:sz w:val="24"/>
          <w:szCs w:val="24"/>
        </w:rPr>
        <w:tab/>
        <w:t xml:space="preserve">nach Ablauf der </w:t>
      </w:r>
      <w:r w:rsidR="00557A4F">
        <w:rPr>
          <w:sz w:val="24"/>
          <w:szCs w:val="24"/>
        </w:rPr>
        <w:t>Äußerung</w:t>
      </w:r>
      <w:r>
        <w:rPr>
          <w:sz w:val="24"/>
          <w:szCs w:val="24"/>
        </w:rPr>
        <w:t>sfrist alle Einwendungen ausgeschlossen sind, die nicht auf besonderen privatrechtlichen Titeln beruhen</w:t>
      </w:r>
      <w:r w:rsidR="00837C68">
        <w:rPr>
          <w:sz w:val="24"/>
          <w:szCs w:val="24"/>
        </w:rPr>
        <w:t>,</w:t>
      </w:r>
      <w:r>
        <w:rPr>
          <w:sz w:val="24"/>
          <w:szCs w:val="24"/>
        </w:rPr>
        <w:t xml:space="preserve"> </w:t>
      </w:r>
    </w:p>
    <w:p w:rsidR="009F1675" w:rsidRDefault="009F1675" w:rsidP="009F1675">
      <w:pPr>
        <w:spacing w:line="280" w:lineRule="atLeast"/>
        <w:ind w:left="567" w:hanging="567"/>
        <w:jc w:val="both"/>
        <w:rPr>
          <w:sz w:val="24"/>
          <w:szCs w:val="24"/>
        </w:rPr>
      </w:pPr>
    </w:p>
    <w:p w:rsidR="009F1675" w:rsidRDefault="009F1675" w:rsidP="009F1675">
      <w:pPr>
        <w:spacing w:line="280" w:lineRule="atLeast"/>
        <w:ind w:left="567" w:hanging="567"/>
        <w:jc w:val="both"/>
        <w:rPr>
          <w:sz w:val="24"/>
          <w:szCs w:val="24"/>
        </w:rPr>
      </w:pPr>
      <w:r>
        <w:rPr>
          <w:sz w:val="24"/>
          <w:szCs w:val="24"/>
        </w:rPr>
        <w:t>b)</w:t>
      </w:r>
      <w:r>
        <w:rPr>
          <w:sz w:val="24"/>
          <w:szCs w:val="24"/>
        </w:rPr>
        <w:tab/>
        <w:t>rechtzeitig erhobene Einwendungen in einem Erörterungstermin behandelt werden,</w:t>
      </w:r>
    </w:p>
    <w:p w:rsidR="009F1675" w:rsidRDefault="009F1675" w:rsidP="009F1675">
      <w:pPr>
        <w:spacing w:line="280" w:lineRule="atLeast"/>
        <w:ind w:left="567" w:hanging="567"/>
        <w:jc w:val="both"/>
        <w:rPr>
          <w:sz w:val="24"/>
          <w:szCs w:val="24"/>
        </w:rPr>
      </w:pPr>
    </w:p>
    <w:p w:rsidR="009F1675" w:rsidRDefault="009F1675" w:rsidP="009F1675">
      <w:pPr>
        <w:spacing w:line="280" w:lineRule="atLeast"/>
        <w:ind w:left="567" w:hanging="567"/>
        <w:jc w:val="both"/>
        <w:rPr>
          <w:sz w:val="24"/>
          <w:szCs w:val="24"/>
        </w:rPr>
      </w:pPr>
      <w:r>
        <w:rPr>
          <w:sz w:val="24"/>
          <w:szCs w:val="24"/>
        </w:rPr>
        <w:t>c)</w:t>
      </w:r>
      <w:r>
        <w:rPr>
          <w:sz w:val="24"/>
          <w:szCs w:val="24"/>
        </w:rPr>
        <w:tab/>
        <w:t>in dem Erörterungstermin bei Ausbleiben eines Beteiligten auch ohne ihn verhandelt werden kann,</w:t>
      </w:r>
    </w:p>
    <w:p w:rsidR="009F1675" w:rsidRDefault="009F1675" w:rsidP="009F1675">
      <w:pPr>
        <w:spacing w:line="280" w:lineRule="atLeast"/>
        <w:ind w:left="567" w:hanging="567"/>
        <w:jc w:val="both"/>
        <w:rPr>
          <w:sz w:val="24"/>
          <w:szCs w:val="24"/>
        </w:rPr>
      </w:pPr>
    </w:p>
    <w:p w:rsidR="009F1675" w:rsidRDefault="009F1675" w:rsidP="009F1675">
      <w:pPr>
        <w:spacing w:line="280" w:lineRule="atLeast"/>
        <w:ind w:left="567" w:hanging="567"/>
        <w:jc w:val="both"/>
        <w:rPr>
          <w:sz w:val="24"/>
          <w:szCs w:val="24"/>
        </w:rPr>
      </w:pPr>
      <w:r>
        <w:rPr>
          <w:sz w:val="24"/>
          <w:szCs w:val="24"/>
        </w:rPr>
        <w:t>d)</w:t>
      </w:r>
      <w:r>
        <w:rPr>
          <w:sz w:val="24"/>
          <w:szCs w:val="24"/>
        </w:rPr>
        <w:tab/>
        <w:t>die Unterrichtung über den Erörterungstermin ebenso wie die Zustellung der Entscheidung durch öffentliche Bekanntmachung erfolgen kann, soweit mehr als 50 Benachrichtigungen oder Zustellungen vorzunehmen sind,</w:t>
      </w:r>
    </w:p>
    <w:p w:rsidR="00837C68" w:rsidRDefault="00837C68" w:rsidP="009F1675">
      <w:pPr>
        <w:spacing w:line="280" w:lineRule="atLeast"/>
        <w:ind w:left="567" w:hanging="567"/>
        <w:jc w:val="both"/>
        <w:rPr>
          <w:sz w:val="24"/>
          <w:szCs w:val="24"/>
        </w:rPr>
      </w:pPr>
    </w:p>
    <w:p w:rsidR="00837C68" w:rsidRDefault="00837C68" w:rsidP="009F1675">
      <w:pPr>
        <w:spacing w:line="280" w:lineRule="atLeast"/>
        <w:ind w:left="567" w:hanging="567"/>
        <w:jc w:val="both"/>
        <w:rPr>
          <w:sz w:val="24"/>
          <w:szCs w:val="24"/>
        </w:rPr>
      </w:pPr>
      <w:r>
        <w:rPr>
          <w:sz w:val="24"/>
          <w:szCs w:val="24"/>
        </w:rPr>
        <w:t>e)</w:t>
      </w:r>
      <w:r>
        <w:rPr>
          <w:sz w:val="24"/>
          <w:szCs w:val="24"/>
        </w:rPr>
        <w:tab/>
        <w:t>eine erneute Beteiligung der Öffentlichkeit erforderlich ist, wenn der Vorhabenträger im Laufe des Verfahrens die auszulegenden Unterlagen ändert. Sie wird jedoch auf die Änderungen beschränkt.</w:t>
      </w:r>
    </w:p>
    <w:p w:rsidR="009F1675" w:rsidRDefault="009F1675" w:rsidP="009F1675">
      <w:pPr>
        <w:spacing w:line="280" w:lineRule="atLeast"/>
        <w:ind w:left="567" w:hanging="567"/>
        <w:jc w:val="both"/>
        <w:rPr>
          <w:sz w:val="24"/>
          <w:szCs w:val="24"/>
        </w:rPr>
      </w:pPr>
    </w:p>
    <w:p w:rsidR="009F1675" w:rsidRDefault="00837C68" w:rsidP="009F1675">
      <w:pPr>
        <w:spacing w:line="280" w:lineRule="atLeast"/>
        <w:ind w:left="567" w:hanging="567"/>
        <w:jc w:val="both"/>
        <w:rPr>
          <w:sz w:val="24"/>
          <w:szCs w:val="24"/>
        </w:rPr>
      </w:pPr>
      <w:r>
        <w:rPr>
          <w:sz w:val="24"/>
          <w:szCs w:val="24"/>
        </w:rPr>
        <w:t>f</w:t>
      </w:r>
      <w:r w:rsidR="009F1675">
        <w:rPr>
          <w:sz w:val="24"/>
          <w:szCs w:val="24"/>
        </w:rPr>
        <w:t>)</w:t>
      </w:r>
      <w:r w:rsidR="009F1675">
        <w:rPr>
          <w:sz w:val="24"/>
          <w:szCs w:val="24"/>
        </w:rPr>
        <w:tab/>
        <w:t>die Erlaubniserteilung unbeschadet etwaiger privater Rechte Dritter erfolgt.</w:t>
      </w:r>
    </w:p>
    <w:p w:rsidR="009F1675" w:rsidRDefault="009F1675" w:rsidP="009F1675">
      <w:pPr>
        <w:spacing w:line="280" w:lineRule="atLeast"/>
        <w:ind w:left="567" w:hanging="567"/>
        <w:jc w:val="both"/>
        <w:rPr>
          <w:sz w:val="24"/>
          <w:szCs w:val="24"/>
        </w:rPr>
      </w:pPr>
    </w:p>
    <w:p w:rsidR="009F1675" w:rsidRDefault="009F1675" w:rsidP="009F1675">
      <w:pPr>
        <w:spacing w:line="280" w:lineRule="atLeast"/>
        <w:ind w:left="567" w:hanging="567"/>
        <w:jc w:val="both"/>
        <w:rPr>
          <w:sz w:val="24"/>
          <w:szCs w:val="24"/>
        </w:rPr>
      </w:pPr>
    </w:p>
    <w:p w:rsidR="00BF5FC6" w:rsidRPr="00CA3BFB" w:rsidRDefault="00BF5FC6" w:rsidP="007503D0">
      <w:pPr>
        <w:jc w:val="both"/>
        <w:rPr>
          <w:szCs w:val="22"/>
        </w:rPr>
      </w:pPr>
    </w:p>
    <w:sectPr w:rsidR="00BF5FC6" w:rsidRPr="00CA3BFB" w:rsidSect="00CA3BFB">
      <w:pgSz w:w="11906" w:h="16838"/>
      <w:pgMar w:top="1134" w:right="851" w:bottom="249"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50DC9"/>
    <w:multiLevelType w:val="hybridMultilevel"/>
    <w:tmpl w:val="015EB2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DC00725"/>
    <w:multiLevelType w:val="hybridMultilevel"/>
    <w:tmpl w:val="99D625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368"/>
    <w:rsid w:val="000D6F6D"/>
    <w:rsid w:val="002C02FD"/>
    <w:rsid w:val="00382303"/>
    <w:rsid w:val="00412A22"/>
    <w:rsid w:val="00557A4F"/>
    <w:rsid w:val="00681368"/>
    <w:rsid w:val="007503D0"/>
    <w:rsid w:val="00837C68"/>
    <w:rsid w:val="009F1675"/>
    <w:rsid w:val="00AF4A6A"/>
    <w:rsid w:val="00B056B0"/>
    <w:rsid w:val="00B74E0B"/>
    <w:rsid w:val="00BF5FC6"/>
    <w:rsid w:val="00C6162C"/>
    <w:rsid w:val="00CA3B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62C4A79-1491-4B69-AA25-24E075A04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82303"/>
    <w:rPr>
      <w:rFonts w:ascii="Arial" w:hAnsi="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57A4F"/>
    <w:pPr>
      <w:ind w:left="720"/>
      <w:contextualSpacing/>
    </w:pPr>
  </w:style>
  <w:style w:type="character" w:styleId="Hyperlink">
    <w:name w:val="Hyperlink"/>
    <w:basedOn w:val="Absatz-Standardschriftart"/>
    <w:uiPriority w:val="99"/>
    <w:semiHidden/>
    <w:unhideWhenUsed/>
    <w:rsid w:val="00C616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016776">
      <w:bodyDiv w:val="1"/>
      <w:marLeft w:val="0"/>
      <w:marRight w:val="0"/>
      <w:marTop w:val="0"/>
      <w:marBottom w:val="0"/>
      <w:divBdr>
        <w:top w:val="none" w:sz="0" w:space="0" w:color="auto"/>
        <w:left w:val="none" w:sz="0" w:space="0" w:color="auto"/>
        <w:bottom w:val="none" w:sz="0" w:space="0" w:color="auto"/>
        <w:right w:val="none" w:sz="0" w:space="0" w:color="auto"/>
      </w:divBdr>
    </w:div>
    <w:div w:id="667438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oberderdingen.de/news?action=view_everything"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506</Words>
  <Characters>3189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Landratsamt Karlsruhe</Company>
  <LinksUpToDate>false</LinksUpToDate>
  <CharactersWithSpaces>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Landratsamt Karlsruhe</dc:creator>
  <cp:keywords/>
  <dc:description/>
  <cp:lastModifiedBy>Stephan Bechtel</cp:lastModifiedBy>
  <cp:revision>2</cp:revision>
  <dcterms:created xsi:type="dcterms:W3CDTF">2021-01-19T11:40:00Z</dcterms:created>
  <dcterms:modified xsi:type="dcterms:W3CDTF">2021-01-19T11:40:00Z</dcterms:modified>
</cp:coreProperties>
</file>